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170199" w:rsidRPr="00835274" w14:paraId="22F06489" w14:textId="77777777" w:rsidTr="00FE325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80DD192" w14:textId="77777777" w:rsidR="00170199" w:rsidRDefault="00170199" w:rsidP="00FE32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652D83C3" w14:textId="77777777" w:rsidR="00170199" w:rsidRPr="00835274" w:rsidRDefault="00170199" w:rsidP="00FE32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24B2BF" w14:textId="77777777" w:rsidR="00170199" w:rsidRPr="00C85573" w:rsidRDefault="00170199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1362440/2021 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Barbara</w:t>
            </w:r>
          </w:p>
          <w:p w14:paraId="00EA1A3D" w14:textId="77777777" w:rsidR="00170199" w:rsidRDefault="00170199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1344050/2021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Mariano</w:t>
            </w:r>
          </w:p>
          <w:p w14:paraId="2FFD4943" w14:textId="77777777" w:rsidR="00170199" w:rsidRPr="007A3C55" w:rsidRDefault="00170199" w:rsidP="00FE325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1192970/2020 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Gustavo</w:t>
            </w:r>
          </w:p>
        </w:tc>
      </w:tr>
      <w:tr w:rsidR="00170199" w:rsidRPr="00835274" w14:paraId="04888A3F" w14:textId="77777777" w:rsidTr="00FE325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B4DAEE6" w14:textId="77777777" w:rsidR="00170199" w:rsidRPr="00835274" w:rsidRDefault="00170199" w:rsidP="00FE32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3BAEEA" w14:textId="77777777" w:rsidR="00170199" w:rsidRPr="00C85573" w:rsidRDefault="00170199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Barbara Leticia Apesoah 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CAU/PR</w:t>
            </w:r>
          </w:p>
          <w:p w14:paraId="02B24B43" w14:textId="77777777" w:rsidR="00170199" w:rsidRDefault="00170199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Mariano Francisco Rodriguez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MG</w:t>
            </w:r>
          </w:p>
          <w:p w14:paraId="0CFDED62" w14:textId="77777777" w:rsidR="00170199" w:rsidRPr="0080688E" w:rsidRDefault="00170199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Gustavo Eduardo Sáinz Marques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CAU/DF</w:t>
            </w:r>
          </w:p>
        </w:tc>
      </w:tr>
      <w:tr w:rsidR="00170199" w:rsidRPr="00835274" w14:paraId="6242AD82" w14:textId="77777777" w:rsidTr="00FE325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52C3B7E" w14:textId="77777777" w:rsidR="00170199" w:rsidRPr="00835274" w:rsidRDefault="00170199" w:rsidP="00FE32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F3063B" w14:textId="77777777" w:rsidR="00170199" w:rsidRPr="007A3C55" w:rsidRDefault="00170199" w:rsidP="00FE325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</w:tbl>
    <w:p w14:paraId="33074BFE" w14:textId="3BF8D23D" w:rsidR="00170199" w:rsidRPr="00334696" w:rsidRDefault="00170199" w:rsidP="001701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E83B4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</w:t>
      </w:r>
      <w:r w:rsidR="003F01B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9FB1435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</w:t>
      </w:r>
      <w:r w:rsidRPr="004E0243">
        <w:rPr>
          <w:rFonts w:ascii="Times New Roman" w:eastAsia="Times New Roman" w:hAnsi="Times New Roman"/>
          <w:sz w:val="22"/>
          <w:szCs w:val="22"/>
          <w:lang w:eastAsia="pt-BR"/>
        </w:rPr>
        <w:t>CAU/BR, reunida ordinariamente por meio de videoconferência, no dia 4 de novembro de 2021, no uso das competências que lhe conferem o art. 99 do Regimento Interno do CAU/BR, após análise do assunto em epígrafe, e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47D626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e alterações posteriores, que dispõem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56EF48BE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6922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os processos de solicitação de registro de diplomados por instituições de ensino estrangeiras são anteriormente analisados e apreciados pela Comissão de Ensino e Formação do CAU/UF, ou por Comissão com a competência para a matéria, conforme determina a Resolução CAU/BR nº 26/2012, supramencionada;</w:t>
      </w:r>
    </w:p>
    <w:p w14:paraId="40E239BD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DD164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orientações da Comissão para atendimento aos normativos vigentes que tratam de registro de diplomados no exterior; </w:t>
      </w:r>
    </w:p>
    <w:p w14:paraId="0FE6B8F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32BE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112 países signatários e suprimindo a legalização de documentos no Consulado;</w:t>
      </w:r>
    </w:p>
    <w:p w14:paraId="0EC7478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0F07DE" w14:textId="77777777" w:rsidR="00170199" w:rsidRPr="00170199" w:rsidRDefault="00170199" w:rsidP="0017019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estrangeiras deverão contar com a “Apostila” emitida por autoridade local competente e que, documentos anteriores a esta data deverão contar com a etiqueta de legalização aposta pelo Ministério das Relações Exteriores local, e</w:t>
      </w:r>
    </w:p>
    <w:p w14:paraId="71AD879E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os processos recebidos pela CEF-CAU/BR e a conferência da documentação realizada, conforme tabelas anexas a esta deliberação.</w:t>
      </w:r>
    </w:p>
    <w:p w14:paraId="2938AC8A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9FE83D" w14:textId="2FBB001F" w:rsidR="00170199" w:rsidRDefault="00170199" w:rsidP="000E275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Homologar o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egistro profissional definitivo dos seguintes requerentes, nos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340077C2" w14:textId="77777777" w:rsidR="000E275B" w:rsidRPr="000E275B" w:rsidRDefault="000E275B" w:rsidP="000E275B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935"/>
        <w:gridCol w:w="1935"/>
        <w:gridCol w:w="1170"/>
      </w:tblGrid>
      <w:tr w:rsidR="00170199" w:rsidRPr="00EA7325" w14:paraId="2F321E7C" w14:textId="77777777" w:rsidTr="00FE325A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D420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05FAE68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A96AC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2FEDA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7DE25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1E8F6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Revalidadora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8C3160F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170199" w:rsidRPr="00EA7325" w14:paraId="531CC518" w14:textId="77777777" w:rsidTr="00FE325A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83724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Barbara Leticia Apesoah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F82D7C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59383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Argentina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8DB89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 de Buenos Aires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7AF389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Tecnológica Federal do Paraná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DD7D4D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03/06/2023</w:t>
            </w:r>
          </w:p>
        </w:tc>
      </w:tr>
      <w:tr w:rsidR="00170199" w:rsidRPr="00EA7325" w14:paraId="13329764" w14:textId="77777777" w:rsidTr="00FE325A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C2068F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lastRenderedPageBreak/>
              <w:t>Mariano Francisco Rodriguez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825172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7B76C7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Argentina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888D80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 Nacional de La Plata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A96634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Minas Gerais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C2B8A6" w14:textId="77777777" w:rsidR="00170199" w:rsidRPr="00170199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1701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26/01/2024</w:t>
            </w:r>
          </w:p>
        </w:tc>
      </w:tr>
    </w:tbl>
    <w:p w14:paraId="41ABE65B" w14:textId="77777777" w:rsidR="00170199" w:rsidRDefault="00170199" w:rsidP="00170199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7AB0F850" w14:textId="04AC2684" w:rsidR="00170199" w:rsidRDefault="00170199" w:rsidP="0017019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homologar o registro profissional definitivo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de </w:t>
      </w:r>
      <w:r w:rsidRPr="0080688E">
        <w:rPr>
          <w:rFonts w:ascii="Times New Roman" w:eastAsia="Times New Roman" w:hAnsi="Times New Roman"/>
          <w:bCs/>
          <w:sz w:val="22"/>
          <w:szCs w:val="22"/>
          <w:lang w:eastAsia="pt-BR"/>
        </w:rPr>
        <w:t>Gustavo Eduardo Sáinz Marques</w:t>
      </w:r>
      <w:r w:rsidRPr="00296F2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</w:t>
      </w: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>restituir os autos ao CAU/DF para que o mesmo proceda às diligências necessárias à correção dos vícios procedimentais em observ</w:t>
      </w:r>
      <w:r w:rsidR="00F17D17">
        <w:rPr>
          <w:rFonts w:ascii="Times New Roman" w:eastAsia="Times New Roman" w:hAnsi="Times New Roman"/>
          <w:noProof/>
          <w:sz w:val="22"/>
          <w:szCs w:val="22"/>
          <w:lang w:eastAsia="pt-BR"/>
        </w:rPr>
        <w:t>â</w:t>
      </w: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>ncia ao disposto na Resolução CAU/BR nº 26/2012, solicitando ao requerente a apresentação d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os documentos faltantes conforme o anexo desta Deliberação.  </w:t>
      </w:r>
    </w:p>
    <w:p w14:paraId="72330B4C" w14:textId="77777777" w:rsidR="00170199" w:rsidRPr="00296F24" w:rsidRDefault="00170199" w:rsidP="00170199">
      <w:pPr>
        <w:pStyle w:val="PargrafodaLista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2B4554BA" w14:textId="77777777" w:rsidR="00170199" w:rsidRDefault="00170199" w:rsidP="0017019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DD02FA0" w14:textId="77777777" w:rsidR="00170199" w:rsidRPr="00296F24" w:rsidRDefault="00170199" w:rsidP="00170199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420"/>
        <w:gridCol w:w="5053"/>
        <w:gridCol w:w="2167"/>
      </w:tblGrid>
      <w:tr w:rsidR="00170199" w:rsidRPr="00FD1434" w14:paraId="411BD46D" w14:textId="77777777" w:rsidTr="00FE325A">
        <w:tc>
          <w:tcPr>
            <w:tcW w:w="421" w:type="dxa"/>
          </w:tcPr>
          <w:p w14:paraId="56BFCE9C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7662D70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SETOR</w:t>
            </w:r>
          </w:p>
        </w:tc>
        <w:tc>
          <w:tcPr>
            <w:tcW w:w="5053" w:type="dxa"/>
          </w:tcPr>
          <w:p w14:paraId="45E9D15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DEMANDA</w:t>
            </w:r>
          </w:p>
        </w:tc>
        <w:tc>
          <w:tcPr>
            <w:tcW w:w="2167" w:type="dxa"/>
          </w:tcPr>
          <w:p w14:paraId="3610E487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PRAZO</w:t>
            </w:r>
          </w:p>
        </w:tc>
      </w:tr>
      <w:tr w:rsidR="00170199" w:rsidRPr="00FD1434" w14:paraId="19C72CED" w14:textId="77777777" w:rsidTr="00FE325A">
        <w:tc>
          <w:tcPr>
            <w:tcW w:w="421" w:type="dxa"/>
          </w:tcPr>
          <w:p w14:paraId="63B13B14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2134542C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053" w:type="dxa"/>
          </w:tcPr>
          <w:p w14:paraId="6F8DD0A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67" w:type="dxa"/>
          </w:tcPr>
          <w:p w14:paraId="2E8AB179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170199" w:rsidRPr="008A0492" w14:paraId="265EF0AC" w14:textId="77777777" w:rsidTr="00FE325A">
        <w:tc>
          <w:tcPr>
            <w:tcW w:w="421" w:type="dxa"/>
          </w:tcPr>
          <w:p w14:paraId="09133BE5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14:paraId="41ED71B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053" w:type="dxa"/>
          </w:tcPr>
          <w:p w14:paraId="4D307C2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67" w:type="dxa"/>
          </w:tcPr>
          <w:p w14:paraId="5817DBFA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2343AAB6" w14:textId="77777777" w:rsidR="00170199" w:rsidRPr="00F22051" w:rsidRDefault="00170199" w:rsidP="00170199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F8D2BE" w14:textId="77777777" w:rsidR="00170199" w:rsidRPr="00F22051" w:rsidRDefault="00170199" w:rsidP="000E275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65B9BFED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4DF82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FF5418" w14:textId="77777777" w:rsidR="00170199" w:rsidRDefault="00170199" w:rsidP="00170199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4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novembro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7149FCB3" w14:textId="77777777" w:rsidR="00170199" w:rsidRDefault="00170199" w:rsidP="0017019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E705304" w14:textId="77777777" w:rsidR="00170199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762DA12F" w14:textId="77777777" w:rsidR="00170199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F8D7505" w14:textId="77777777" w:rsidR="00170199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0CF1EDB" w14:textId="77777777" w:rsidR="00170199" w:rsidRDefault="00170199" w:rsidP="0017019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E572F" wp14:editId="76835C8B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B4BF5" id="Retângulo 4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PYla+e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24DF6976" w14:textId="77777777" w:rsidR="00170199" w:rsidRDefault="00170199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29DDACA9" w14:textId="77777777" w:rsidR="00170199" w:rsidRDefault="00170199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383597BD" w14:textId="77777777" w:rsidR="00170199" w:rsidRDefault="00170199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7B0B02AA" w14:textId="77777777" w:rsidR="00170199" w:rsidRDefault="00170199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7072238C" w14:textId="77777777" w:rsidR="00170199" w:rsidRDefault="00170199" w:rsidP="00170199">
      <w:pPr>
        <w:jc w:val="center"/>
        <w:rPr>
          <w:rFonts w:ascii="Times New Roman" w:hAnsi="Times New Roman"/>
          <w:b/>
          <w:sz w:val="22"/>
          <w:szCs w:val="22"/>
        </w:rPr>
      </w:pPr>
      <w:r w:rsidRPr="00BC7E4E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65CAB25C" w14:textId="5B4E4681" w:rsidR="00170199" w:rsidRDefault="00170199" w:rsidP="0017019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64F3B7AD" w14:textId="74DA4881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751C62D6" w14:textId="5D08B42F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31F56670" w14:textId="2E6797BA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57348785" w14:textId="153FE810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4FB6731F" w14:textId="256B46C7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1F8703F5" w14:textId="19AF824E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7D26BBEE" w14:textId="5204923F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146B4D3C" w14:textId="737EC22C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60EC07D8" w14:textId="59F5DF08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487A0F85" w14:textId="0DB24473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0AF8AF2C" w14:textId="0164D1BA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13CE7C87" w14:textId="738C041C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5D868CEF" w14:textId="0DD99E7E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70A2104D" w14:textId="14585396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1B8B4D7A" w14:textId="4A280CB3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7D7BFE86" w14:textId="18E0502C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4CB5092B" w14:textId="77777777" w:rsidR="00F17D17" w:rsidRDefault="00F17D17" w:rsidP="00170199">
      <w:pPr>
        <w:jc w:val="center"/>
        <w:rPr>
          <w:rFonts w:ascii="Times New Roman" w:hAnsi="Times New Roman"/>
          <w:sz w:val="22"/>
          <w:szCs w:val="22"/>
        </w:rPr>
      </w:pPr>
    </w:p>
    <w:p w14:paraId="2C29610B" w14:textId="77777777" w:rsidR="00170199" w:rsidRPr="00B270CE" w:rsidRDefault="00170199" w:rsidP="0017019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109</w:t>
      </w:r>
      <w:r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4E0243">
        <w:rPr>
          <w:rFonts w:ascii="Times New Roman" w:eastAsia="Calibri" w:hAnsi="Times New Roman"/>
          <w:b/>
          <w:sz w:val="22"/>
          <w:szCs w:val="22"/>
        </w:rPr>
        <w:t>REUNIÃO ORDINÁRIA DA CEF-CAU</w:t>
      </w:r>
      <w:r w:rsidRPr="004E633F">
        <w:rPr>
          <w:rFonts w:ascii="Times New Roman" w:eastAsia="Calibri" w:hAnsi="Times New Roman"/>
          <w:b/>
          <w:sz w:val="22"/>
          <w:szCs w:val="22"/>
        </w:rPr>
        <w:t>/BR</w:t>
      </w:r>
    </w:p>
    <w:p w14:paraId="4A7CB2DF" w14:textId="77777777" w:rsidR="00170199" w:rsidRPr="00B270CE" w:rsidRDefault="00170199" w:rsidP="0017019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2CE6E09E" w14:textId="77777777" w:rsidR="00170199" w:rsidRPr="00B270CE" w:rsidRDefault="00170199" w:rsidP="0017019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043CB71" w14:textId="77777777" w:rsidR="00170199" w:rsidRPr="00B270CE" w:rsidRDefault="00170199" w:rsidP="0017019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33E070D0" w14:textId="77777777" w:rsidR="00170199" w:rsidRDefault="00170199" w:rsidP="0017019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170199" w:rsidRPr="00B270CE" w14:paraId="6DF4B3F9" w14:textId="77777777" w:rsidTr="00F17D1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AF55" w14:textId="77777777" w:rsidR="00170199" w:rsidRPr="00B270CE" w:rsidRDefault="00170199" w:rsidP="00FE325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2C90" w14:textId="77777777" w:rsidR="00170199" w:rsidRPr="00B270CE" w:rsidRDefault="00170199" w:rsidP="00F17D1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8499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DE31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70199" w:rsidRPr="00B270CE" w14:paraId="35ACA9D9" w14:textId="77777777" w:rsidTr="00FE325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3DCF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0CD5" w14:textId="77777777" w:rsidR="00170199" w:rsidRPr="00B270CE" w:rsidRDefault="00170199" w:rsidP="00FE325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3108" w14:textId="77777777" w:rsidR="00170199" w:rsidRPr="00B270CE" w:rsidRDefault="00170199" w:rsidP="00FE325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B7E1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0084" w14:textId="77777777" w:rsidR="00170199" w:rsidRPr="00B270CE" w:rsidRDefault="00170199" w:rsidP="00FE325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043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8AF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170199" w:rsidRPr="00B270CE" w14:paraId="432FB050" w14:textId="77777777" w:rsidTr="00BC7E4E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D1E" w14:textId="77777777" w:rsidR="00170199" w:rsidRPr="00B270CE" w:rsidRDefault="00170199" w:rsidP="00FE325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3615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9D5" w14:textId="77777777" w:rsidR="00170199" w:rsidRPr="00BC7E4E" w:rsidRDefault="00170199" w:rsidP="00FE32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20ED" w14:textId="77777777" w:rsidR="00170199" w:rsidRPr="00BC7E4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7E4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80D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08E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55D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70199" w:rsidRPr="00B270CE" w14:paraId="3C0F775C" w14:textId="77777777" w:rsidTr="00BC7E4E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CC0" w14:textId="77777777" w:rsidR="00170199" w:rsidRPr="00B270CE" w:rsidRDefault="00170199" w:rsidP="00FE325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9380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6B8" w14:textId="77777777" w:rsidR="00170199" w:rsidRPr="00BC7E4E" w:rsidRDefault="00170199" w:rsidP="00FE32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05ED" w14:textId="77777777" w:rsidR="00170199" w:rsidRPr="00BC7E4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7E4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13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F90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0D9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70199" w:rsidRPr="00B270CE" w14:paraId="0F08E468" w14:textId="77777777" w:rsidTr="00BC7E4E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C815" w14:textId="77777777" w:rsidR="00170199" w:rsidRPr="00B270CE" w:rsidRDefault="00170199" w:rsidP="00FE325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A84B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16D8" w14:textId="77777777" w:rsidR="00170199" w:rsidRPr="00BC7E4E" w:rsidRDefault="00170199" w:rsidP="00FE32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2EE4" w14:textId="501BC62A" w:rsidR="00170199" w:rsidRPr="00BC7E4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32C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0BB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F39" w14:textId="548E25AE" w:rsidR="00170199" w:rsidRPr="00B270CE" w:rsidRDefault="00BC7E4E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70199" w:rsidRPr="00B270CE" w14:paraId="79300482" w14:textId="77777777" w:rsidTr="00BC7E4E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42F" w14:textId="77777777" w:rsidR="00170199" w:rsidRPr="00B270CE" w:rsidRDefault="00170199" w:rsidP="00FE325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D714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D23C" w14:textId="77777777" w:rsidR="00170199" w:rsidRPr="00BC7E4E" w:rsidRDefault="00170199" w:rsidP="00FE32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3BF0" w14:textId="77777777" w:rsidR="00170199" w:rsidRPr="00BC7E4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7E4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EA4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C37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6E2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70199" w:rsidRPr="00B270CE" w14:paraId="792E76CF" w14:textId="77777777" w:rsidTr="00BC7E4E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EB75" w14:textId="77777777" w:rsidR="00170199" w:rsidRPr="00B270CE" w:rsidRDefault="00170199" w:rsidP="00FE325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7A3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3C7" w14:textId="77777777" w:rsidR="00170199" w:rsidRPr="00BC7E4E" w:rsidRDefault="00170199" w:rsidP="00FE325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11C9" w14:textId="50BBCFB2" w:rsidR="00170199" w:rsidRPr="00BC7E4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35B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A8A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79D" w14:textId="6C4857AE" w:rsidR="00170199" w:rsidRPr="00B270CE" w:rsidRDefault="00BC7E4E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70199" w:rsidRPr="00B270CE" w14:paraId="3BFF03B2" w14:textId="77777777" w:rsidTr="00BC7E4E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EF2B" w14:textId="77777777" w:rsidR="00170199" w:rsidRPr="00B270CE" w:rsidRDefault="00170199" w:rsidP="00FE325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03CA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1494" w14:textId="77777777" w:rsidR="00170199" w:rsidRPr="00BC7E4E" w:rsidRDefault="00170199" w:rsidP="00FE325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5472" w14:textId="77777777" w:rsidR="00170199" w:rsidRPr="00BC7E4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7E4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730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3F5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EEB3" w14:textId="77777777" w:rsidR="00170199" w:rsidRPr="00B270CE" w:rsidRDefault="00170199" w:rsidP="00FE32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413DA61F" w14:textId="77777777" w:rsidR="00170199" w:rsidRDefault="00170199" w:rsidP="0017019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170199" w:rsidRPr="00B270CE" w14:paraId="75FD687C" w14:textId="77777777" w:rsidTr="00FE325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51AC0A9" w14:textId="77777777" w:rsidR="00170199" w:rsidRPr="00B270CE" w:rsidRDefault="00170199" w:rsidP="00FE325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E5E0596" w14:textId="77777777" w:rsidR="00170199" w:rsidRPr="00B270CE" w:rsidRDefault="00170199" w:rsidP="00FE325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091E71" w14:textId="77777777" w:rsidR="00170199" w:rsidRPr="004E0243" w:rsidRDefault="00170199" w:rsidP="00FE325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E0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109ª REUNIÃO </w:t>
            </w:r>
            <w:r w:rsidRPr="004E0243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30E18B73" w14:textId="77777777" w:rsidR="00170199" w:rsidRPr="004E0243" w:rsidRDefault="00170199" w:rsidP="00FE325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7AF8FAC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E0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4E0243">
              <w:rPr>
                <w:rFonts w:ascii="Times New Roman" w:hAnsi="Times New Roman"/>
                <w:sz w:val="22"/>
                <w:szCs w:val="22"/>
                <w:lang w:eastAsia="pt-BR"/>
              </w:rPr>
              <w:t>04/11/2021</w:t>
            </w:r>
          </w:p>
          <w:p w14:paraId="05278B9C" w14:textId="77777777" w:rsidR="00170199" w:rsidRPr="00B270CE" w:rsidRDefault="00170199" w:rsidP="00FE325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9239625" w14:textId="77777777" w:rsidR="00170199" w:rsidRPr="00B270CE" w:rsidRDefault="00170199" w:rsidP="00FE32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  <w:r w:rsidRPr="00102F5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 </w:t>
            </w:r>
            <w:r w:rsidRPr="00102F5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4543E54E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8C0AF56" w14:textId="50AC9F09" w:rsidR="00170199" w:rsidRPr="00553B00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E275B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E275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E275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E275B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E275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E275B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3135373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75617B" w14:textId="6D581916" w:rsidR="00170199" w:rsidRPr="000E275B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0E275B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="00F17D17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="000E275B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Conselheira</w:t>
            </w:r>
            <w:r w:rsidR="00F17D17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="000E275B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Grete </w:t>
            </w:r>
            <w:r w:rsidR="00F17D17"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r w:rsidR="00F17D1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e </w:t>
            </w:r>
            <w:r w:rsidR="00F17D17"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Kipper</w:t>
            </w:r>
            <w:r w:rsidR="00F17D1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justificaram ausência.</w:t>
            </w:r>
          </w:p>
          <w:p w14:paraId="7D298B83" w14:textId="77777777" w:rsidR="00170199" w:rsidRPr="00B270CE" w:rsidRDefault="00170199" w:rsidP="00FE32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DA2D02" w14:textId="77777777" w:rsidR="00170199" w:rsidRPr="00B270CE" w:rsidRDefault="00170199" w:rsidP="00FE325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32004490" w14:textId="4F5320F4" w:rsidR="00DC47DD" w:rsidRDefault="00DC47DD" w:rsidP="006E7F5B"/>
    <w:p w14:paraId="432405E9" w14:textId="58038A3E" w:rsidR="00DC47DD" w:rsidRDefault="00DC47DD" w:rsidP="006E7F5B"/>
    <w:p w14:paraId="1ADB5B1F" w14:textId="6C436BA2" w:rsidR="00DC47DD" w:rsidRDefault="00DC47DD" w:rsidP="006E7F5B"/>
    <w:p w14:paraId="7185089B" w14:textId="17A80BBC" w:rsidR="00DC47DD" w:rsidRDefault="00DC47DD" w:rsidP="006E7F5B"/>
    <w:p w14:paraId="24D6F4A7" w14:textId="65747DD6" w:rsidR="00DC47DD" w:rsidRDefault="00DC47DD" w:rsidP="006E7F5B"/>
    <w:p w14:paraId="410C6C69" w14:textId="14A7C0AE" w:rsidR="00DC47DD" w:rsidRDefault="00DC47DD" w:rsidP="006E7F5B"/>
    <w:p w14:paraId="02978019" w14:textId="0919EAFE" w:rsidR="00DC47DD" w:rsidRDefault="00DC47DD" w:rsidP="006E7F5B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36321D">
        <w:tc>
          <w:tcPr>
            <w:tcW w:w="15220" w:type="dxa"/>
            <w:gridSpan w:val="2"/>
          </w:tcPr>
          <w:p w14:paraId="01F2357E" w14:textId="0E486F2C" w:rsidR="00D4608F" w:rsidRPr="00D4608F" w:rsidRDefault="00D4608F" w:rsidP="00D4608F">
            <w:pPr>
              <w:pStyle w:val="PargrafodaLista"/>
              <w:pBdr>
                <w:top w:val="single" w:sz="4" w:space="1" w:color="7F7F7F" w:themeColor="text1" w:themeTint="80"/>
                <w:bottom w:val="single" w:sz="4" w:space="1" w:color="7F7F7F" w:themeColor="text1" w:themeTint="8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</w:p>
        </w:tc>
      </w:tr>
      <w:tr w:rsidR="00DC47DD" w:rsidRPr="00182DAC" w14:paraId="407A7E20" w14:textId="77777777" w:rsidTr="0036321D">
        <w:tc>
          <w:tcPr>
            <w:tcW w:w="15220" w:type="dxa"/>
            <w:gridSpan w:val="2"/>
          </w:tcPr>
          <w:p w14:paraId="068F3F42" w14:textId="6B6C8B47" w:rsidR="00DC47DD" w:rsidRPr="00182DAC" w:rsidRDefault="00170199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</w:rPr>
              <w:t>Barbara Leticia Apesoah</w:t>
            </w:r>
          </w:p>
        </w:tc>
      </w:tr>
      <w:tr w:rsidR="00DC47DD" w14:paraId="1A7FA379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A3F4C41" w14:textId="2BE64FE4" w:rsidR="00DC47DD" w:rsidRDefault="000118F8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93A47C" wp14:editId="641A0DE6">
                  <wp:extent cx="4505325" cy="3595370"/>
                  <wp:effectExtent l="0" t="0" r="9525" b="508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59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D1DE0" w14:textId="57A10F43" w:rsidR="00F35165" w:rsidRDefault="00F35165" w:rsidP="00F35165">
            <w:pPr>
              <w:jc w:val="center"/>
              <w:rPr>
                <w:noProof/>
              </w:rPr>
            </w:pPr>
          </w:p>
          <w:p w14:paraId="444FE00F" w14:textId="3F204D3F" w:rsidR="00F35165" w:rsidRDefault="00F35165" w:rsidP="00F35165">
            <w:pPr>
              <w:jc w:val="center"/>
              <w:rPr>
                <w:noProof/>
              </w:rPr>
            </w:pPr>
          </w:p>
          <w:p w14:paraId="47537671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67F3A278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08ACB222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38E02C7C" w14:textId="4EE38A59" w:rsidR="00F35165" w:rsidRDefault="00F35165" w:rsidP="00F35165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00C7598E" w14:textId="356B6ACE" w:rsidR="004514F9" w:rsidRDefault="003F01B6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ED3E91" wp14:editId="59E01711">
                  <wp:extent cx="3992963" cy="2850299"/>
                  <wp:effectExtent l="0" t="0" r="762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358" cy="286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61E28" w14:textId="2E20B4ED" w:rsidR="00F35165" w:rsidRDefault="000118F8" w:rsidP="000118F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6CD8E5" wp14:editId="20B9351B">
                  <wp:extent cx="4029075" cy="2221769"/>
                  <wp:effectExtent l="0" t="0" r="0" b="762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5846" cy="222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199" w14:paraId="7AC246A7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51B85CD" w14:textId="28F16CCC" w:rsidR="00170199" w:rsidRDefault="00170199" w:rsidP="00170199">
            <w:pPr>
              <w:ind w:left="501" w:hanging="142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80688E">
              <w:rPr>
                <w:rFonts w:ascii="Times New Roman" w:eastAsia="Times New Roman" w:hAnsi="Times New Roman"/>
                <w:bCs/>
                <w:sz w:val="22"/>
                <w:szCs w:val="22"/>
              </w:rPr>
              <w:t>Mariano Francisco Rodriguez</w:t>
            </w:r>
          </w:p>
        </w:tc>
        <w:tc>
          <w:tcPr>
            <w:tcW w:w="7985" w:type="dxa"/>
          </w:tcPr>
          <w:p w14:paraId="0BE8BDB4" w14:textId="77777777" w:rsidR="00170199" w:rsidRDefault="00170199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70199" w14:paraId="1F879FA6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A1D7194" w14:textId="460CBC77" w:rsidR="00170199" w:rsidRDefault="00217223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A70016" wp14:editId="2EBB4A8C">
                  <wp:extent cx="4505325" cy="3589655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58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</w:tcPr>
          <w:p w14:paraId="0CD5559B" w14:textId="77777777" w:rsidR="00170199" w:rsidRDefault="00217223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142898" wp14:editId="2E993E48">
                  <wp:extent cx="4154188" cy="3057525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765" cy="305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AE673" w14:textId="7C0C56A8" w:rsidR="00217223" w:rsidRDefault="00217223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656DA3" wp14:editId="41351B96">
                  <wp:extent cx="4191750" cy="2275139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468" cy="22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ECA" w14:paraId="7B901145" w14:textId="77777777" w:rsidTr="00157947">
        <w:tblPrEx>
          <w:tblCellMar>
            <w:left w:w="70" w:type="dxa"/>
            <w:right w:w="70" w:type="dxa"/>
          </w:tblCellMar>
        </w:tblPrEx>
        <w:tc>
          <w:tcPr>
            <w:tcW w:w="15220" w:type="dxa"/>
            <w:gridSpan w:val="2"/>
          </w:tcPr>
          <w:p w14:paraId="55D5865A" w14:textId="41A4CC01" w:rsidR="007A2ECA" w:rsidRPr="00170199" w:rsidRDefault="00170199" w:rsidP="00170199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2" w:name="_Hlk86871784"/>
            <w:r w:rsidRPr="00170199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Gustavo Eduardo Sáinz Marques</w:t>
            </w:r>
            <w:bookmarkEnd w:id="2"/>
          </w:p>
        </w:tc>
      </w:tr>
      <w:tr w:rsidR="007A2ECA" w14:paraId="1D209CC0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50E09F5A" w14:textId="057E797F" w:rsidR="007A2ECA" w:rsidRDefault="00170199" w:rsidP="003632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07BB53" wp14:editId="23AA5637">
                  <wp:extent cx="4505325" cy="3556635"/>
                  <wp:effectExtent l="0" t="0" r="9525" b="571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55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7A7859" w14:textId="1ADDE5FD" w:rsidR="002F549B" w:rsidRDefault="002F549B" w:rsidP="0036321D">
            <w:pPr>
              <w:jc w:val="center"/>
              <w:rPr>
                <w:noProof/>
              </w:rPr>
            </w:pPr>
          </w:p>
          <w:p w14:paraId="60F37774" w14:textId="4915CF99" w:rsidR="004F3102" w:rsidRDefault="004F3102" w:rsidP="0036321D">
            <w:pPr>
              <w:jc w:val="center"/>
              <w:rPr>
                <w:noProof/>
              </w:rPr>
            </w:pPr>
          </w:p>
        </w:tc>
        <w:tc>
          <w:tcPr>
            <w:tcW w:w="7985" w:type="dxa"/>
          </w:tcPr>
          <w:p w14:paraId="71E52808" w14:textId="6BB1C6FB" w:rsidR="007A2ECA" w:rsidRDefault="00170199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86CDD6" wp14:editId="444100D6">
                  <wp:extent cx="4142460" cy="2971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620" cy="297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A92DA" w14:textId="2681AB45" w:rsidR="009662E7" w:rsidRDefault="00170199" w:rsidP="00C51F2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9CD338" wp14:editId="5B525E21">
                  <wp:extent cx="4219575" cy="2345642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358" cy="235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387C8" w14:textId="77777777" w:rsidR="00DC47DD" w:rsidRPr="00E75906" w:rsidRDefault="00DC47DD" w:rsidP="00E75906">
      <w:pPr>
        <w:ind w:firstLine="708"/>
        <w:jc w:val="right"/>
        <w:rPr>
          <w:sz w:val="2"/>
          <w:szCs w:val="2"/>
        </w:rPr>
      </w:pPr>
    </w:p>
    <w:sectPr w:rsidR="00DC47DD" w:rsidRPr="00E75906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F17D1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2" name="Imagem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004C4"/>
    <w:multiLevelType w:val="hybridMultilevel"/>
    <w:tmpl w:val="BB5A158A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8F8"/>
    <w:rsid w:val="00060459"/>
    <w:rsid w:val="00070A25"/>
    <w:rsid w:val="00073E11"/>
    <w:rsid w:val="00097A2B"/>
    <w:rsid w:val="000B13B7"/>
    <w:rsid w:val="000D4E00"/>
    <w:rsid w:val="000E275B"/>
    <w:rsid w:val="000E3889"/>
    <w:rsid w:val="000E73D7"/>
    <w:rsid w:val="00126D14"/>
    <w:rsid w:val="00152EC8"/>
    <w:rsid w:val="00156C1C"/>
    <w:rsid w:val="001611CF"/>
    <w:rsid w:val="00162C28"/>
    <w:rsid w:val="00164081"/>
    <w:rsid w:val="00170199"/>
    <w:rsid w:val="00193E0F"/>
    <w:rsid w:val="00217223"/>
    <w:rsid w:val="00252873"/>
    <w:rsid w:val="002553D8"/>
    <w:rsid w:val="002610A5"/>
    <w:rsid w:val="00267556"/>
    <w:rsid w:val="00285C3C"/>
    <w:rsid w:val="00291565"/>
    <w:rsid w:val="0029356A"/>
    <w:rsid w:val="002949ED"/>
    <w:rsid w:val="00296F24"/>
    <w:rsid w:val="002B7C15"/>
    <w:rsid w:val="002C1DEF"/>
    <w:rsid w:val="002F549B"/>
    <w:rsid w:val="00311C44"/>
    <w:rsid w:val="00335625"/>
    <w:rsid w:val="003821A0"/>
    <w:rsid w:val="003B42DF"/>
    <w:rsid w:val="003F01B6"/>
    <w:rsid w:val="003F6D24"/>
    <w:rsid w:val="00406E66"/>
    <w:rsid w:val="00407111"/>
    <w:rsid w:val="00407AE6"/>
    <w:rsid w:val="00450D2C"/>
    <w:rsid w:val="004514F9"/>
    <w:rsid w:val="00463E2A"/>
    <w:rsid w:val="0047148D"/>
    <w:rsid w:val="00471DC2"/>
    <w:rsid w:val="00487797"/>
    <w:rsid w:val="00495DDE"/>
    <w:rsid w:val="004B18D7"/>
    <w:rsid w:val="004B6C10"/>
    <w:rsid w:val="004D3D2D"/>
    <w:rsid w:val="004F3102"/>
    <w:rsid w:val="00505026"/>
    <w:rsid w:val="005414C4"/>
    <w:rsid w:val="0055734D"/>
    <w:rsid w:val="00561604"/>
    <w:rsid w:val="00565690"/>
    <w:rsid w:val="005C55AA"/>
    <w:rsid w:val="005F278F"/>
    <w:rsid w:val="006020BC"/>
    <w:rsid w:val="00611B82"/>
    <w:rsid w:val="00623578"/>
    <w:rsid w:val="00623991"/>
    <w:rsid w:val="00665B1C"/>
    <w:rsid w:val="0068057C"/>
    <w:rsid w:val="00683BBE"/>
    <w:rsid w:val="0069044A"/>
    <w:rsid w:val="006A6FAB"/>
    <w:rsid w:val="006C18EA"/>
    <w:rsid w:val="006E75BE"/>
    <w:rsid w:val="006E7F5B"/>
    <w:rsid w:val="006F27FD"/>
    <w:rsid w:val="0075173E"/>
    <w:rsid w:val="007527DB"/>
    <w:rsid w:val="00767F2D"/>
    <w:rsid w:val="00774284"/>
    <w:rsid w:val="00783D72"/>
    <w:rsid w:val="007A2ECA"/>
    <w:rsid w:val="007B3D3B"/>
    <w:rsid w:val="007C5BC1"/>
    <w:rsid w:val="007F2462"/>
    <w:rsid w:val="007F6E10"/>
    <w:rsid w:val="008073AD"/>
    <w:rsid w:val="0082601F"/>
    <w:rsid w:val="008652F1"/>
    <w:rsid w:val="008D3335"/>
    <w:rsid w:val="008D574F"/>
    <w:rsid w:val="00917BA0"/>
    <w:rsid w:val="009662E7"/>
    <w:rsid w:val="00982A08"/>
    <w:rsid w:val="009970B1"/>
    <w:rsid w:val="009A4671"/>
    <w:rsid w:val="009A7A63"/>
    <w:rsid w:val="009C7BC5"/>
    <w:rsid w:val="009D74D8"/>
    <w:rsid w:val="009F5A7D"/>
    <w:rsid w:val="00A409A5"/>
    <w:rsid w:val="00A64F5D"/>
    <w:rsid w:val="00A659AB"/>
    <w:rsid w:val="00B250A4"/>
    <w:rsid w:val="00B50559"/>
    <w:rsid w:val="00B667CC"/>
    <w:rsid w:val="00B916E5"/>
    <w:rsid w:val="00BB3C06"/>
    <w:rsid w:val="00BC7E4E"/>
    <w:rsid w:val="00BF149A"/>
    <w:rsid w:val="00BF1D91"/>
    <w:rsid w:val="00BF7E6E"/>
    <w:rsid w:val="00C00FD5"/>
    <w:rsid w:val="00C25F47"/>
    <w:rsid w:val="00C45A59"/>
    <w:rsid w:val="00C51F29"/>
    <w:rsid w:val="00C52546"/>
    <w:rsid w:val="00C56EAD"/>
    <w:rsid w:val="00C843D5"/>
    <w:rsid w:val="00C85573"/>
    <w:rsid w:val="00CB410F"/>
    <w:rsid w:val="00CB5E72"/>
    <w:rsid w:val="00CE066B"/>
    <w:rsid w:val="00D007CB"/>
    <w:rsid w:val="00D21E5A"/>
    <w:rsid w:val="00D4608F"/>
    <w:rsid w:val="00D6049B"/>
    <w:rsid w:val="00D60DAD"/>
    <w:rsid w:val="00D925E1"/>
    <w:rsid w:val="00DB2DA6"/>
    <w:rsid w:val="00DB3A63"/>
    <w:rsid w:val="00DC47DD"/>
    <w:rsid w:val="00DE5D2F"/>
    <w:rsid w:val="00DE724D"/>
    <w:rsid w:val="00DF432B"/>
    <w:rsid w:val="00E14B8D"/>
    <w:rsid w:val="00E15883"/>
    <w:rsid w:val="00E33792"/>
    <w:rsid w:val="00E337C1"/>
    <w:rsid w:val="00E46425"/>
    <w:rsid w:val="00E5154C"/>
    <w:rsid w:val="00E56881"/>
    <w:rsid w:val="00E625E1"/>
    <w:rsid w:val="00E657A9"/>
    <w:rsid w:val="00E738F4"/>
    <w:rsid w:val="00E75906"/>
    <w:rsid w:val="00E760A8"/>
    <w:rsid w:val="00E95AFA"/>
    <w:rsid w:val="00EA56E6"/>
    <w:rsid w:val="00EC72A5"/>
    <w:rsid w:val="00ED7498"/>
    <w:rsid w:val="00F17D17"/>
    <w:rsid w:val="00F25BC4"/>
    <w:rsid w:val="00F32C3A"/>
    <w:rsid w:val="00F3337F"/>
    <w:rsid w:val="00F35165"/>
    <w:rsid w:val="00F46866"/>
    <w:rsid w:val="00F47F02"/>
    <w:rsid w:val="00F66097"/>
    <w:rsid w:val="00F67D27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dcterms:created xsi:type="dcterms:W3CDTF">2021-11-05T14:37:00Z</dcterms:created>
  <dcterms:modified xsi:type="dcterms:W3CDTF">2021-11-05T20:47:00Z</dcterms:modified>
</cp:coreProperties>
</file>