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BC709B0" w:rsidR="00097A2B" w:rsidRPr="007A3C55" w:rsidRDefault="00E5701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414CAB" w:rsidRPr="00414CA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1408359/2021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144DCE" w:rsidR="00097A2B" w:rsidRPr="00BF41D1" w:rsidRDefault="00E5701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F41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F9A3286" w:rsidR="00097A2B" w:rsidRPr="00BF41D1" w:rsidRDefault="00BF41D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F41D1">
              <w:rPr>
                <w:rFonts w:ascii="Times New Roman" w:hAnsi="Times New Roman"/>
                <w:bCs/>
                <w:sz w:val="22"/>
                <w:szCs w:val="22"/>
              </w:rPr>
              <w:t xml:space="preserve">Consulta sobre a </w:t>
            </w:r>
            <w:r w:rsidR="000501B3" w:rsidRPr="00BF41D1">
              <w:rPr>
                <w:rFonts w:ascii="Times New Roman" w:hAnsi="Times New Roman"/>
                <w:bCs/>
                <w:sz w:val="22"/>
                <w:szCs w:val="22"/>
              </w:rPr>
              <w:t xml:space="preserve">Certidão para fins de credenciamento de arquitetos e urbanistas perante o Instituto Nacional de Colonização e Reforma Agrária (Incra) </w:t>
            </w:r>
          </w:p>
        </w:tc>
      </w:tr>
    </w:tbl>
    <w:p w14:paraId="5E77BFAF" w14:textId="113DB746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9C42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9C4242" w:rsidRPr="009C42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BF41D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68B4764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reu</w:t>
      </w:r>
      <w:r w:rsidRPr="00DD385A">
        <w:rPr>
          <w:rFonts w:ascii="Times New Roman" w:eastAsia="Times New Roman" w:hAnsi="Times New Roman"/>
          <w:sz w:val="22"/>
          <w:szCs w:val="22"/>
          <w:lang w:eastAsia="pt-BR"/>
        </w:rPr>
        <w:t>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Pr="009C4242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D385A" w:rsidRPr="009C4242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DD385A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7F6234B6" w:rsidR="00097A2B" w:rsidRDefault="00BF41D1" w:rsidP="005B58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B58E4" w:rsidRPr="005B58E4">
        <w:rPr>
          <w:rFonts w:ascii="Times New Roman" w:eastAsia="Times New Roman" w:hAnsi="Times New Roman"/>
          <w:sz w:val="22"/>
          <w:szCs w:val="22"/>
          <w:lang w:eastAsia="pt-BR"/>
        </w:rPr>
        <w:t xml:space="preserve"> partir da vigência da Lei n° 12.378/2010, a orientação, disciplina e fiscalização do exercício da</w:t>
      </w:r>
      <w:r w:rsidR="00C336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58E4" w:rsidRPr="005B58E4">
        <w:rPr>
          <w:rFonts w:ascii="Times New Roman" w:eastAsia="Times New Roman" w:hAnsi="Times New Roman"/>
          <w:sz w:val="22"/>
          <w:szCs w:val="22"/>
          <w:lang w:eastAsia="pt-BR"/>
        </w:rPr>
        <w:t>profissão de Arquitetura e Urbanismo constituem função do CAU/BR e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8D1D6E" w14:textId="41AEF3C8" w:rsidR="00BF41D1" w:rsidRDefault="00BF41D1" w:rsidP="005B58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FE8469" w14:textId="264EACE4" w:rsidR="00BF41D1" w:rsidRPr="00BF41D1" w:rsidRDefault="00BF41D1" w:rsidP="00BF4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>° 016/2020</w:t>
      </w:r>
      <w:r w:rsidR="00414CAB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que traz o embasamento legal </w:t>
      </w:r>
      <w:r w:rsidR="00414CAB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 Certid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credenciamento de arquitetos e urbanistas perante o Instituto Nacional de Colonização e Reforma Agrária (Incra), relata a recusa das Certidões do CAU pelo </w:t>
      </w:r>
      <w:r w:rsidR="00414CAB">
        <w:rPr>
          <w:rFonts w:ascii="Times New Roman" w:eastAsia="Times New Roman" w:hAnsi="Times New Roman"/>
          <w:sz w:val="22"/>
          <w:szCs w:val="22"/>
          <w:lang w:eastAsia="pt-BR"/>
        </w:rPr>
        <w:t>Incra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, propõe ao Plenário do CAU/BR a revogação das Deliberações Plenárias DPOBR n° 0055-10/2016 e 0066-07/2017, aprova as minutas de novas certidões a serem encaminhadas ao </w:t>
      </w:r>
      <w:r w:rsidR="00414CAB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lenário e define outras providências;  </w:t>
      </w:r>
    </w:p>
    <w:p w14:paraId="262A64AC" w14:textId="77777777" w:rsidR="00BF41D1" w:rsidRPr="00BF41D1" w:rsidRDefault="00BF41D1" w:rsidP="00BF4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CB0C01" w14:textId="6F6F1600" w:rsidR="00BF41D1" w:rsidRDefault="00BF41D1" w:rsidP="00BF4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</w:t>
      </w: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 DPOBR Nº 00101-06/2020, que revoga as Deliberações Plenárias DPOBR n° 0055-10/2016 e 0066-07/2017 aprovando novos modelos de certidões e procedimentos de análise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14CAB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A09161B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8E64A8" w14:textId="04549A9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33689" w:rsidRPr="00BF41D1">
        <w:rPr>
          <w:rFonts w:ascii="Times New Roman" w:eastAsia="Times New Roman" w:hAnsi="Times New Roman"/>
          <w:sz w:val="22"/>
          <w:szCs w:val="22"/>
          <w:lang w:eastAsia="pt-BR"/>
        </w:rPr>
        <w:t>o Relatório e Voto d</w:t>
      </w:r>
      <w:r w:rsidR="000501B3" w:rsidRPr="00BF41D1">
        <w:rPr>
          <w:rFonts w:ascii="Times New Roman" w:eastAsia="Times New Roman" w:hAnsi="Times New Roman"/>
          <w:sz w:val="22"/>
          <w:szCs w:val="22"/>
          <w:lang w:eastAsia="pt-BR"/>
        </w:rPr>
        <w:t>o Conselheiro Ricardo Mascarello</w:t>
      </w:r>
      <w:r w:rsidR="00C33689" w:rsidRPr="00BF41D1">
        <w:rPr>
          <w:rFonts w:ascii="Times New Roman" w:eastAsia="Times New Roman" w:hAnsi="Times New Roman"/>
          <w:sz w:val="22"/>
          <w:szCs w:val="22"/>
          <w:lang w:eastAsia="pt-BR"/>
        </w:rPr>
        <w:t xml:space="preserve"> no processo Siccau nº </w:t>
      </w:r>
      <w:r w:rsidR="000501B3" w:rsidRPr="00BF41D1">
        <w:rPr>
          <w:rFonts w:ascii="Times New Roman" w:eastAsia="Times New Roman" w:hAnsi="Times New Roman"/>
          <w:sz w:val="22"/>
          <w:szCs w:val="22"/>
          <w:lang w:eastAsia="pt-BR"/>
        </w:rPr>
        <w:t>1291543/2021</w:t>
      </w:r>
      <w:r w:rsidR="00C33689" w:rsidRPr="00BF41D1">
        <w:rPr>
          <w:rFonts w:ascii="Times New Roman" w:eastAsia="Times New Roman" w:hAnsi="Times New Roman"/>
          <w:sz w:val="22"/>
          <w:szCs w:val="22"/>
          <w:lang w:eastAsia="pt-BR"/>
        </w:rPr>
        <w:t>, que trata d</w:t>
      </w:r>
      <w:r w:rsidR="000501B3" w:rsidRPr="00BF41D1">
        <w:rPr>
          <w:rFonts w:ascii="Times New Roman" w:eastAsia="Times New Roman" w:hAnsi="Times New Roman"/>
          <w:sz w:val="22"/>
          <w:szCs w:val="22"/>
          <w:lang w:eastAsia="pt-BR"/>
        </w:rPr>
        <w:t>a Certidão para fins de credenciamento de arquitetos e urbanistas perante o Instituto Nacional de Colonização e Reforma Agrária (Incra) – Revisão da DPOBR Nº 00101-06/2020</w:t>
      </w:r>
      <w:r w:rsidR="00C33689" w:rsidRPr="00BF41D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E57015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E57015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E57015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D0A912" w14:textId="6A66E366" w:rsidR="00EC0127" w:rsidRDefault="00224737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57015">
        <w:rPr>
          <w:rFonts w:ascii="Times New Roman" w:hAnsi="Times New Roman"/>
          <w:sz w:val="22"/>
          <w:szCs w:val="22"/>
          <w:lang w:eastAsia="pt-BR"/>
        </w:rPr>
        <w:t>Ofic</w:t>
      </w:r>
      <w:r w:rsidRPr="004640D5">
        <w:rPr>
          <w:rFonts w:ascii="Times New Roman" w:hAnsi="Times New Roman"/>
          <w:sz w:val="22"/>
          <w:szCs w:val="22"/>
          <w:lang w:eastAsia="pt-BR"/>
        </w:rPr>
        <w:t xml:space="preserve">iar </w:t>
      </w:r>
      <w:r w:rsidR="00BC4AAD" w:rsidRPr="004640D5">
        <w:rPr>
          <w:rFonts w:ascii="Times New Roman" w:hAnsi="Times New Roman"/>
          <w:sz w:val="22"/>
          <w:szCs w:val="22"/>
        </w:rPr>
        <w:t xml:space="preserve">o </w:t>
      </w:r>
      <w:r w:rsidR="00EC0127" w:rsidRPr="004640D5">
        <w:rPr>
          <w:rFonts w:ascii="Times New Roman" w:hAnsi="Times New Roman"/>
          <w:bCs/>
          <w:sz w:val="22"/>
          <w:szCs w:val="22"/>
        </w:rPr>
        <w:t xml:space="preserve">Instituto Nacional de Colonização e Reforma Agrária </w:t>
      </w:r>
      <w:r w:rsidR="00414CAB">
        <w:rPr>
          <w:rFonts w:ascii="Times New Roman" w:hAnsi="Times New Roman"/>
          <w:bCs/>
          <w:sz w:val="22"/>
          <w:szCs w:val="22"/>
        </w:rPr>
        <w:t>(</w:t>
      </w:r>
      <w:r w:rsidR="00EC0127" w:rsidRPr="004640D5">
        <w:rPr>
          <w:rFonts w:ascii="Times New Roman" w:hAnsi="Times New Roman"/>
          <w:bCs/>
          <w:sz w:val="22"/>
          <w:szCs w:val="22"/>
        </w:rPr>
        <w:t>Incra</w:t>
      </w:r>
      <w:r w:rsidR="00414CAB">
        <w:rPr>
          <w:rFonts w:ascii="Times New Roman" w:hAnsi="Times New Roman"/>
          <w:bCs/>
          <w:sz w:val="22"/>
          <w:szCs w:val="22"/>
        </w:rPr>
        <w:t>)</w:t>
      </w:r>
      <w:r w:rsidR="00EC0127" w:rsidRPr="004640D5">
        <w:rPr>
          <w:rFonts w:ascii="Times New Roman" w:hAnsi="Times New Roman"/>
          <w:bCs/>
          <w:sz w:val="22"/>
          <w:szCs w:val="22"/>
        </w:rPr>
        <w:t xml:space="preserve"> </w:t>
      </w:r>
      <w:r w:rsidR="00EC0127">
        <w:rPr>
          <w:rFonts w:ascii="Times New Roman" w:hAnsi="Times New Roman"/>
          <w:bCs/>
          <w:sz w:val="22"/>
          <w:szCs w:val="22"/>
        </w:rPr>
        <w:t xml:space="preserve">solicitando </w:t>
      </w:r>
      <w:r w:rsidRPr="00E57015">
        <w:rPr>
          <w:rFonts w:ascii="Times New Roman" w:hAnsi="Times New Roman"/>
          <w:sz w:val="22"/>
          <w:szCs w:val="22"/>
        </w:rPr>
        <w:t>que</w:t>
      </w:r>
      <w:r w:rsidR="00BC4AAD" w:rsidRPr="00E57015">
        <w:rPr>
          <w:rFonts w:ascii="Times New Roman" w:hAnsi="Times New Roman"/>
          <w:sz w:val="22"/>
          <w:szCs w:val="22"/>
        </w:rPr>
        <w:t xml:space="preserve"> se pronuncie oficialmente</w:t>
      </w:r>
      <w:r w:rsidR="00270F3D">
        <w:rPr>
          <w:rFonts w:ascii="Times New Roman" w:hAnsi="Times New Roman"/>
          <w:sz w:val="22"/>
          <w:szCs w:val="22"/>
        </w:rPr>
        <w:t xml:space="preserve"> sobre os </w:t>
      </w:r>
      <w:r w:rsidR="00EC0127">
        <w:rPr>
          <w:rFonts w:ascii="Times New Roman" w:hAnsi="Times New Roman"/>
          <w:sz w:val="22"/>
          <w:szCs w:val="22"/>
        </w:rPr>
        <w:t xml:space="preserve">requisitos </w:t>
      </w:r>
      <w:r w:rsidR="00270F3D">
        <w:rPr>
          <w:rFonts w:ascii="Times New Roman" w:hAnsi="Times New Roman"/>
          <w:sz w:val="22"/>
          <w:szCs w:val="22"/>
        </w:rPr>
        <w:t>estabelecidos pelo Instituto para assumir responsabilidade técnica pela</w:t>
      </w:r>
      <w:r w:rsidR="00270F3D" w:rsidRPr="00492486">
        <w:rPr>
          <w:rFonts w:ascii="Times New Roman" w:hAnsi="Times New Roman"/>
          <w:sz w:val="22"/>
          <w:szCs w:val="22"/>
        </w:rPr>
        <w:t xml:space="preserve"> determinação das coordenadas dos vértices definidores dos limites dos imóveis rurais para efeito do Cadastro Nacional de Imóveis Rurais</w:t>
      </w:r>
      <w:r w:rsidR="00270F3D">
        <w:rPr>
          <w:rFonts w:ascii="Times New Roman" w:hAnsi="Times New Roman"/>
          <w:sz w:val="22"/>
          <w:szCs w:val="22"/>
        </w:rPr>
        <w:t xml:space="preserve"> </w:t>
      </w:r>
      <w:r w:rsidR="00270F3D" w:rsidRPr="00492486">
        <w:rPr>
          <w:rFonts w:ascii="Times New Roman" w:hAnsi="Times New Roman"/>
          <w:sz w:val="22"/>
          <w:szCs w:val="22"/>
        </w:rPr>
        <w:t>(CNIR)</w:t>
      </w:r>
      <w:r w:rsidR="00270F3D">
        <w:rPr>
          <w:rFonts w:ascii="Times New Roman" w:hAnsi="Times New Roman"/>
          <w:sz w:val="22"/>
          <w:szCs w:val="22"/>
        </w:rPr>
        <w:t xml:space="preserve">, assim como </w:t>
      </w:r>
      <w:r w:rsidR="00270F3D" w:rsidRPr="00E57015">
        <w:rPr>
          <w:rFonts w:ascii="Times New Roman" w:hAnsi="Times New Roman"/>
          <w:sz w:val="22"/>
          <w:szCs w:val="22"/>
        </w:rPr>
        <w:t xml:space="preserve">sobre </w:t>
      </w:r>
      <w:r w:rsidR="00270F3D">
        <w:rPr>
          <w:rFonts w:ascii="Times New Roman" w:hAnsi="Times New Roman"/>
          <w:sz w:val="22"/>
          <w:szCs w:val="22"/>
        </w:rPr>
        <w:t xml:space="preserve">a atual situação do aceite das </w:t>
      </w:r>
      <w:r w:rsidR="00270F3D" w:rsidRPr="00A555D7">
        <w:rPr>
          <w:rFonts w:ascii="Times New Roman" w:eastAsia="Times New Roman" w:hAnsi="Times New Roman"/>
          <w:sz w:val="22"/>
          <w:szCs w:val="22"/>
          <w:lang w:eastAsia="pt-BR"/>
        </w:rPr>
        <w:t xml:space="preserve">Certidão para fins de </w:t>
      </w:r>
      <w:r w:rsidR="00270F3D" w:rsidRPr="00A555D7">
        <w:rPr>
          <w:rFonts w:ascii="Times New Roman" w:eastAsia="Times New Roman" w:hAnsi="Times New Roman"/>
          <w:bCs/>
          <w:sz w:val="22"/>
          <w:szCs w:val="22"/>
          <w:lang w:eastAsia="pt-BR"/>
        </w:rPr>
        <w:t>credenciamento</w:t>
      </w:r>
      <w:r w:rsidR="00270F3D" w:rsidRPr="00A555D7">
        <w:rPr>
          <w:rFonts w:ascii="Times New Roman" w:eastAsia="Times New Roman" w:hAnsi="Times New Roman"/>
          <w:sz w:val="22"/>
          <w:szCs w:val="22"/>
          <w:lang w:eastAsia="pt-BR"/>
        </w:rPr>
        <w:t xml:space="preserve"> perante o</w:t>
      </w:r>
      <w:r w:rsidR="00270F3D">
        <w:rPr>
          <w:rFonts w:ascii="Times New Roman" w:hAnsi="Times New Roman"/>
          <w:sz w:val="22"/>
          <w:szCs w:val="22"/>
        </w:rPr>
        <w:t xml:space="preserve"> Incra emitidas pelo sistema CAU e suas considerações sobre</w:t>
      </w:r>
      <w:r w:rsidR="004640D5">
        <w:rPr>
          <w:rFonts w:ascii="Times New Roman" w:hAnsi="Times New Roman"/>
          <w:sz w:val="22"/>
          <w:szCs w:val="22"/>
        </w:rPr>
        <w:t xml:space="preserve"> o documento;</w:t>
      </w:r>
    </w:p>
    <w:p w14:paraId="5EDBE8EB" w14:textId="77777777" w:rsidR="00270F3D" w:rsidRDefault="00270F3D" w:rsidP="00270F3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18BBD2" w14:textId="6BA7CB36" w:rsidR="004640D5" w:rsidRDefault="00270F3D" w:rsidP="004640D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70F3D">
        <w:rPr>
          <w:rFonts w:ascii="Times New Roman" w:hAnsi="Times New Roman"/>
          <w:sz w:val="22"/>
          <w:szCs w:val="22"/>
          <w:lang w:eastAsia="pt-BR"/>
        </w:rPr>
        <w:t xml:space="preserve">Oficiar </w:t>
      </w:r>
      <w:r w:rsidRPr="00270F3D">
        <w:rPr>
          <w:rFonts w:ascii="Times New Roman" w:hAnsi="Times New Roman"/>
          <w:sz w:val="22"/>
          <w:szCs w:val="22"/>
        </w:rPr>
        <w:t xml:space="preserve">o </w:t>
      </w:r>
      <w:r w:rsidRPr="00270F3D">
        <w:rPr>
          <w:rFonts w:ascii="Times New Roman" w:hAnsi="Times New Roman"/>
          <w:bCs/>
          <w:sz w:val="22"/>
          <w:szCs w:val="22"/>
        </w:rPr>
        <w:t>Conselho Federal de Engenharia e Agronomia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14CAB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>Confea</w:t>
      </w:r>
      <w:r w:rsidR="00414CAB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640D5">
        <w:rPr>
          <w:rFonts w:ascii="Times New Roman" w:hAnsi="Times New Roman"/>
          <w:bCs/>
          <w:sz w:val="22"/>
          <w:szCs w:val="22"/>
        </w:rPr>
        <w:t xml:space="preserve">solicitando </w:t>
      </w:r>
      <w:r w:rsidR="004640D5" w:rsidRPr="00E57015">
        <w:rPr>
          <w:rFonts w:ascii="Times New Roman" w:hAnsi="Times New Roman"/>
          <w:sz w:val="22"/>
          <w:szCs w:val="22"/>
        </w:rPr>
        <w:t>que se pronuncie oficialmente</w:t>
      </w:r>
      <w:r w:rsidR="004640D5">
        <w:rPr>
          <w:rFonts w:ascii="Times New Roman" w:hAnsi="Times New Roman"/>
          <w:sz w:val="22"/>
          <w:szCs w:val="22"/>
        </w:rPr>
        <w:t xml:space="preserve"> sobre a atual situação do aceite das </w:t>
      </w:r>
      <w:r w:rsidR="004640D5" w:rsidRPr="00A555D7">
        <w:rPr>
          <w:rFonts w:ascii="Times New Roman" w:eastAsia="Times New Roman" w:hAnsi="Times New Roman"/>
          <w:sz w:val="22"/>
          <w:szCs w:val="22"/>
          <w:lang w:eastAsia="pt-BR"/>
        </w:rPr>
        <w:t xml:space="preserve">Certidão para fins de </w:t>
      </w:r>
      <w:r w:rsidR="004640D5" w:rsidRPr="00A555D7">
        <w:rPr>
          <w:rFonts w:ascii="Times New Roman" w:eastAsia="Times New Roman" w:hAnsi="Times New Roman"/>
          <w:bCs/>
          <w:sz w:val="22"/>
          <w:szCs w:val="22"/>
          <w:lang w:eastAsia="pt-BR"/>
        </w:rPr>
        <w:t>credenciamento</w:t>
      </w:r>
      <w:r w:rsidR="004640D5" w:rsidRPr="00A555D7">
        <w:rPr>
          <w:rFonts w:ascii="Times New Roman" w:eastAsia="Times New Roman" w:hAnsi="Times New Roman"/>
          <w:sz w:val="22"/>
          <w:szCs w:val="22"/>
          <w:lang w:eastAsia="pt-BR"/>
        </w:rPr>
        <w:t xml:space="preserve"> perante o</w:t>
      </w:r>
      <w:r w:rsidR="004640D5">
        <w:rPr>
          <w:rFonts w:ascii="Times New Roman" w:hAnsi="Times New Roman"/>
          <w:sz w:val="22"/>
          <w:szCs w:val="22"/>
        </w:rPr>
        <w:t xml:space="preserve"> Incra emitidas pelo sistema Confea-Crea;</w:t>
      </w:r>
    </w:p>
    <w:p w14:paraId="53DD1ED6" w14:textId="77777777" w:rsidR="004640D5" w:rsidRDefault="004640D5" w:rsidP="004640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DF7B1B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DF7B1B" w:rsidRPr="00F22051" w:rsidRDefault="00DF7B1B" w:rsidP="00DF7B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4FA972C8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090E7A4D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60DF8420" w:rsidR="00DF7B1B" w:rsidRPr="00102F57" w:rsidRDefault="00DF7B1B" w:rsidP="00DF7B1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F7B1B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DF7B1B" w:rsidRPr="00F22051" w:rsidRDefault="00DF7B1B" w:rsidP="00DF7B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1A17D41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6F55DBA3" w:rsidR="00DF7B1B" w:rsidRPr="00102F57" w:rsidRDefault="00DF7B1B" w:rsidP="00DF7B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Providenciar assinatura d</w:t>
            </w:r>
            <w:r w:rsidR="004640D5">
              <w:rPr>
                <w:rFonts w:ascii="Times New Roman" w:eastAsia="Times New Roman" w:hAnsi="Times New Roman"/>
                <w:sz w:val="22"/>
                <w:szCs w:val="22"/>
              </w:rPr>
              <w:t>os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ofício</w:t>
            </w:r>
            <w:r w:rsidR="004640D5">
              <w:rPr>
                <w:rFonts w:ascii="Times New Roman" w:eastAsia="Times New Roman" w:hAnsi="Times New Roman"/>
                <w:sz w:val="22"/>
                <w:szCs w:val="22"/>
              </w:rPr>
              <w:t>s e envio ao Incra e ao Confea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6006A490" w:rsidR="00DF7B1B" w:rsidRPr="00102F57" w:rsidRDefault="00DF7B1B" w:rsidP="00DF7B1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483CC97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rasília, </w:t>
      </w:r>
      <w:r w:rsidR="00DD385A" w:rsidRPr="00E57015">
        <w:rPr>
          <w:rFonts w:ascii="Times New Roman" w:hAnsi="Times New Roman"/>
          <w:sz w:val="22"/>
          <w:szCs w:val="22"/>
          <w:lang w:eastAsia="pt-BR"/>
        </w:rPr>
        <w:t>7</w:t>
      </w:r>
      <w:r w:rsidRPr="00E5701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D385A" w:rsidRPr="00E57015"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5C3C4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7F599E17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2C12E78C" w14:textId="77777777" w:rsidR="00E57015" w:rsidRDefault="00E57015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E44DA66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2E46ACD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57C813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394F93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056B3B5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0C568F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66A24A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584014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D584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ECFE8B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EA921E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3A4A4A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11260B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7EAC79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A724CFF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0690A6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864BD9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8C0489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4B7653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BA12FD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8BBE0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567C3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301F44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6B41E2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EDC30F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6855A7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B73F6C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9FBF391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A43BDC7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9EE1D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908938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389C0B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D5FDFA3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53790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B640B28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97FEB6" w14:textId="77777777" w:rsidR="00414CAB" w:rsidRDefault="00414CAB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6CF5CD2" w14:textId="580CDD70" w:rsidR="004E633F" w:rsidRPr="00B270CE" w:rsidRDefault="00DD385A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108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DD385A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AA0D8DA" w:rsidR="00006CA5" w:rsidRPr="005C3C43" w:rsidRDefault="00932C6D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B9804F8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120395E8" w:rsidR="00006CA5" w:rsidRPr="00B270CE" w:rsidRDefault="00DF7B1B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5C3C43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C3C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DF7B1B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4DB23EB3" w:rsidR="004E633F" w:rsidRPr="00B270CE" w:rsidRDefault="00DD385A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108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DD38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DD385A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DD385A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645C7198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DF7B1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="00DD385A"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D385A"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DF7B1B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49BB8C9C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414CAB" w:rsidRPr="00BF41D1">
              <w:rPr>
                <w:rFonts w:ascii="Times New Roman" w:hAnsi="Times New Roman"/>
                <w:bCs/>
                <w:sz w:val="22"/>
                <w:szCs w:val="22"/>
              </w:rPr>
              <w:t>Consulta sobre a Certidão para fins de credenciamento de arquitetos e urbanistas perante o Instituto Nacional de Colonização e Reforma Agrária (Incra)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60A5BDCF" w:rsidR="0008265B" w:rsidRPr="00553B00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7B1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5701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5701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77B13D19" w:rsidR="0008265B" w:rsidRPr="00E57015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57015" w:rsidRPr="00E5701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Conselheira Daniela justificou sua ausência. </w:t>
            </w:r>
          </w:p>
          <w:p w14:paraId="3EAEC53A" w14:textId="740D9EAD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414CA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501B3"/>
    <w:rsid w:val="00073E11"/>
    <w:rsid w:val="0008265B"/>
    <w:rsid w:val="00097A2B"/>
    <w:rsid w:val="00102F57"/>
    <w:rsid w:val="001611CF"/>
    <w:rsid w:val="0018081D"/>
    <w:rsid w:val="00193E0F"/>
    <w:rsid w:val="00224737"/>
    <w:rsid w:val="0024662C"/>
    <w:rsid w:val="00270F3D"/>
    <w:rsid w:val="00414CAB"/>
    <w:rsid w:val="004608C5"/>
    <w:rsid w:val="004640D5"/>
    <w:rsid w:val="004B6C10"/>
    <w:rsid w:val="004E633F"/>
    <w:rsid w:val="004E6F66"/>
    <w:rsid w:val="005B58E4"/>
    <w:rsid w:val="005C3C43"/>
    <w:rsid w:val="00632A53"/>
    <w:rsid w:val="006E7F5B"/>
    <w:rsid w:val="006F27FD"/>
    <w:rsid w:val="007527DB"/>
    <w:rsid w:val="00783D72"/>
    <w:rsid w:val="007A3C55"/>
    <w:rsid w:val="007F2462"/>
    <w:rsid w:val="007F6E10"/>
    <w:rsid w:val="00823350"/>
    <w:rsid w:val="008D3335"/>
    <w:rsid w:val="009316E0"/>
    <w:rsid w:val="00932C6D"/>
    <w:rsid w:val="0094143E"/>
    <w:rsid w:val="00982A08"/>
    <w:rsid w:val="009A4671"/>
    <w:rsid w:val="009A7A63"/>
    <w:rsid w:val="009C4242"/>
    <w:rsid w:val="00A409A5"/>
    <w:rsid w:val="00BC4AAD"/>
    <w:rsid w:val="00BD6E6A"/>
    <w:rsid w:val="00BE6F31"/>
    <w:rsid w:val="00BF41D1"/>
    <w:rsid w:val="00C00FD5"/>
    <w:rsid w:val="00C25F47"/>
    <w:rsid w:val="00C33689"/>
    <w:rsid w:val="00D33A9B"/>
    <w:rsid w:val="00D55C19"/>
    <w:rsid w:val="00D925E1"/>
    <w:rsid w:val="00DB2DA6"/>
    <w:rsid w:val="00DD385A"/>
    <w:rsid w:val="00DF7B1B"/>
    <w:rsid w:val="00E57015"/>
    <w:rsid w:val="00E625E1"/>
    <w:rsid w:val="00E657A9"/>
    <w:rsid w:val="00EC0127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2021-10-13T17:43:00Z</dcterms:created>
  <dcterms:modified xsi:type="dcterms:W3CDTF">2021-10-21T17:35:00Z</dcterms:modified>
</cp:coreProperties>
</file>