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D7AE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7AEE" w:rsidRDefault="001375E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7AEE" w:rsidRDefault="001375E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D7AE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7AEE" w:rsidRDefault="001375E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7AEE" w:rsidRDefault="001375E4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6D7AE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7AEE" w:rsidRDefault="001375E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7AEE" w:rsidRDefault="001375E4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Orientações quanto a premiações de Trabalhos Finais de Graduação pelos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UFs</w:t>
            </w:r>
            <w:proofErr w:type="spellEnd"/>
          </w:p>
        </w:tc>
      </w:tr>
    </w:tbl>
    <w:p w:rsidR="006D7AEE" w:rsidRDefault="001375E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28/2019 – CEF-CAU/BR</w:t>
      </w:r>
    </w:p>
    <w:p w:rsidR="006D7AEE" w:rsidRDefault="001375E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FORMAÇÃO – CEF-CAU/BR, reunida ordinariamente em Brasília/DF, na Sede do CAU/BR, nos dias 11 e 12 de abril de 2019,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6D7AEE" w:rsidRDefault="006D7AEE">
      <w:pPr>
        <w:jc w:val="both"/>
        <w:rPr>
          <w:rFonts w:ascii="Times New Roman" w:hAnsi="Times New Roman"/>
          <w:sz w:val="10"/>
          <w:szCs w:val="10"/>
        </w:rPr>
      </w:pPr>
    </w:p>
    <w:p w:rsidR="006D7AEE" w:rsidRDefault="001375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as </w:t>
      </w:r>
      <w:r>
        <w:rPr>
          <w:rFonts w:ascii="Times New Roman" w:hAnsi="Times New Roman"/>
          <w:sz w:val="22"/>
          <w:szCs w:val="22"/>
        </w:rPr>
        <w:t>solicitações de orientação recebidas de CAU/</w:t>
      </w:r>
      <w:proofErr w:type="spellStart"/>
      <w:r>
        <w:rPr>
          <w:rFonts w:ascii="Times New Roman" w:hAnsi="Times New Roman"/>
          <w:sz w:val="22"/>
          <w:szCs w:val="22"/>
        </w:rPr>
        <w:t>UFs</w:t>
      </w:r>
      <w:proofErr w:type="spellEnd"/>
      <w:r>
        <w:rPr>
          <w:rFonts w:ascii="Times New Roman" w:hAnsi="Times New Roman"/>
          <w:sz w:val="22"/>
          <w:szCs w:val="22"/>
        </w:rPr>
        <w:t xml:space="preserve"> sobre a regulamentação de premiações para Trabalhos Finais de Graduação de egressos de cursos de Arquitetura e Urbanismo;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</w:p>
    <w:p w:rsidR="006D7AEE" w:rsidRDefault="006D7AEE">
      <w:pPr>
        <w:jc w:val="both"/>
        <w:rPr>
          <w:rFonts w:ascii="Times New Roman" w:hAnsi="Times New Roman"/>
          <w:sz w:val="10"/>
          <w:szCs w:val="10"/>
        </w:rPr>
      </w:pPr>
    </w:p>
    <w:p w:rsidR="006D7AEE" w:rsidRDefault="001375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§2º do art. 61 da lei 12378/2010, que determina a articulação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/BR com as Comissões de Ensino e Formação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CAUs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UFs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intermédio do conselheiro federal representante das instituições de ensino superior (IES).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D7A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D7AEE" w:rsidRDefault="006D7AE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D7AEE" w:rsidRDefault="001375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orientação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anexas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esta deliberação, que poderão ser utilizadas como referência,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pelos CAU/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para a elaboração de editais de premiação de Trabalhos Finais de Graduação de egressos de cursos de Arquitetura e Urbanismo;</w:t>
            </w:r>
          </w:p>
          <w:p w:rsidR="006D7AEE" w:rsidRDefault="006D7AEE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7AEE" w:rsidRDefault="001375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 as CEF-CAU/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poderão encaminhar contribuições para aprimoramento das orientações, com o objetivo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estabelecer normativo específico uniformizando a ação no âmbito do CAU;</w:t>
            </w:r>
          </w:p>
          <w:p w:rsidR="006D7AEE" w:rsidRDefault="006D7AEE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7AEE" w:rsidRDefault="001375E4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6D7AEE" w:rsidRDefault="006D7AEE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7AEE" w:rsidRDefault="001375E4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 esta deliberação a Presidência do CAU/BR para conhecimento e providências.</w:t>
            </w:r>
          </w:p>
          <w:p w:rsidR="006D7AEE" w:rsidRDefault="006D7AEE">
            <w:pPr>
              <w:jc w:val="both"/>
              <w:rPr>
                <w:sz w:val="10"/>
                <w:szCs w:val="10"/>
              </w:rPr>
            </w:pPr>
          </w:p>
        </w:tc>
      </w:tr>
    </w:tbl>
    <w:p w:rsidR="006D7AEE" w:rsidRDefault="006D7AE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7AEE" w:rsidRDefault="001375E4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12 de abril de 2019.</w:t>
      </w:r>
    </w:p>
    <w:p w:rsidR="006D7AEE" w:rsidRDefault="006D7AEE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7AEE" w:rsidRDefault="006D7AEE">
      <w:pPr>
        <w:jc w:val="center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6D7AEE" w:rsidRDefault="006D7AEE">
      <w:pPr>
        <w:ind w:firstLine="1701"/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D7AE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6D7AEE" w:rsidRDefault="001375E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6D7AEE" w:rsidRDefault="006D7AE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7AE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ALICE DA SILVA RODRIGUES ROSAS</w:t>
            </w:r>
          </w:p>
          <w:p w:rsidR="006D7AEE" w:rsidRDefault="00137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D7AEE" w:rsidRDefault="006D7A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7AE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D7AEE" w:rsidRDefault="00137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D7AEE" w:rsidRDefault="006D7A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7AE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D7AEE" w:rsidRDefault="00137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D7AEE" w:rsidRDefault="006D7A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7AE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6D7AEE" w:rsidRDefault="001375E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D7AEE" w:rsidRDefault="006D7AE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7AE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0"/>
              </w:rPr>
              <w:t>Roseana de Almeida Vasconcelos</w:t>
            </w:r>
          </w:p>
          <w:p w:rsidR="006D7AEE" w:rsidRDefault="001375E4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EE" w:rsidRDefault="00137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D7AEE" w:rsidRDefault="001375E4">
      <w:pPr>
        <w:tabs>
          <w:tab w:val="left" w:pos="5209"/>
        </w:tabs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</w:t>
      </w:r>
    </w:p>
    <w:p w:rsidR="006D7AEE" w:rsidRDefault="006D7AEE">
      <w:pPr>
        <w:tabs>
          <w:tab w:val="left" w:pos="5209"/>
        </w:tabs>
        <w:jc w:val="center"/>
        <w:rPr>
          <w:rFonts w:ascii="Times New Roman" w:hAnsi="Times New Roman"/>
          <w:sz w:val="22"/>
          <w:szCs w:val="22"/>
          <w:u w:val="single"/>
        </w:rPr>
      </w:pPr>
    </w:p>
    <w:p w:rsidR="006D7AEE" w:rsidRDefault="001375E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Orientações para elaboração de Premiação de Trabalho Final de Graduação</w:t>
      </w:r>
    </w:p>
    <w:p w:rsidR="006D7AEE" w:rsidRDefault="006D7AEE">
      <w:pPr>
        <w:rPr>
          <w:rFonts w:ascii="Times New Roman" w:hAnsi="Times New Roman"/>
          <w:b/>
          <w:sz w:val="22"/>
          <w:szCs w:val="22"/>
        </w:rPr>
      </w:pPr>
    </w:p>
    <w:p w:rsidR="006D7AEE" w:rsidRDefault="001375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premiação deverá ser prevista em documento </w:t>
      </w:r>
      <w:r>
        <w:rPr>
          <w:rFonts w:ascii="Times New Roman" w:hAnsi="Times New Roman"/>
          <w:sz w:val="22"/>
          <w:szCs w:val="22"/>
        </w:rPr>
        <w:t>específico, público e com convite a todas as IES no âmbito de jurisdição, contendo, no mínimo: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jc w:val="both"/>
      </w:pPr>
      <w:r>
        <w:rPr>
          <w:rFonts w:ascii="Times New Roman" w:hAnsi="Times New Roman"/>
          <w:b/>
          <w:sz w:val="22"/>
          <w:szCs w:val="22"/>
        </w:rPr>
        <w:t>1. Justificativa e Objetivos:</w:t>
      </w:r>
      <w:r>
        <w:rPr>
          <w:rFonts w:ascii="Times New Roman" w:hAnsi="Times New Roman"/>
          <w:sz w:val="22"/>
          <w:szCs w:val="22"/>
        </w:rPr>
        <w:t xml:space="preserve"> A ação deverá estar justificada e contemplada no Plano de Ação do CAU/UF, e estar alinhada aos objetivos do planejamento estratégi</w:t>
      </w:r>
      <w:r>
        <w:rPr>
          <w:rFonts w:ascii="Times New Roman" w:hAnsi="Times New Roman"/>
          <w:sz w:val="22"/>
          <w:szCs w:val="22"/>
        </w:rPr>
        <w:t>co.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ação deverá reconhecer a qualidade da formação profissional e sua adequação ao contexto regional, e os trabalhos deverão ter sido desenvolvidos dentro dos campos de atuação e atribuições dos arquitetos e urbanistas, conforme artigo 2º da Lei </w:t>
      </w:r>
      <w:r>
        <w:rPr>
          <w:rFonts w:ascii="Times New Roman" w:hAnsi="Times New Roman"/>
          <w:sz w:val="22"/>
          <w:szCs w:val="22"/>
        </w:rPr>
        <w:t>12.378/2010.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ação e o edital deverão ser aprovados por deliberação da Comissão de Ensino e Formação do CAU/UF, que deverá especificar os responsáveis pela sua execução. 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jc w:val="both"/>
      </w:pPr>
      <w:r>
        <w:rPr>
          <w:rFonts w:ascii="Times New Roman" w:hAnsi="Times New Roman"/>
          <w:b/>
          <w:sz w:val="22"/>
          <w:szCs w:val="22"/>
        </w:rPr>
        <w:t>2. Abrangência e Público Alvo:</w:t>
      </w:r>
      <w:r>
        <w:rPr>
          <w:rFonts w:ascii="Times New Roman" w:hAnsi="Times New Roman"/>
          <w:sz w:val="22"/>
          <w:szCs w:val="22"/>
        </w:rPr>
        <w:t xml:space="preserve"> os editais de premiação deverão ser lançados no âmb</w:t>
      </w:r>
      <w:r>
        <w:rPr>
          <w:rFonts w:ascii="Times New Roman" w:hAnsi="Times New Roman"/>
          <w:sz w:val="22"/>
          <w:szCs w:val="22"/>
        </w:rPr>
        <w:t>ito de jurisdição dos CAU/</w:t>
      </w:r>
      <w:proofErr w:type="spellStart"/>
      <w:r>
        <w:rPr>
          <w:rFonts w:ascii="Times New Roman" w:hAnsi="Times New Roman"/>
          <w:sz w:val="22"/>
          <w:szCs w:val="22"/>
        </w:rPr>
        <w:t>UFs</w:t>
      </w:r>
      <w:proofErr w:type="spellEnd"/>
      <w:r>
        <w:rPr>
          <w:rFonts w:ascii="Times New Roman" w:hAnsi="Times New Roman"/>
          <w:sz w:val="22"/>
          <w:szCs w:val="22"/>
        </w:rPr>
        <w:t xml:space="preserve">, ou por convênio de cooperação técnica entre </w:t>
      </w:r>
      <w:proofErr w:type="spellStart"/>
      <w:r>
        <w:rPr>
          <w:rFonts w:ascii="Times New Roman" w:hAnsi="Times New Roman"/>
          <w:sz w:val="22"/>
          <w:szCs w:val="22"/>
        </w:rPr>
        <w:t>UFs</w:t>
      </w:r>
      <w:proofErr w:type="spellEnd"/>
      <w:r>
        <w:rPr>
          <w:rFonts w:ascii="Times New Roman" w:hAnsi="Times New Roman"/>
          <w:sz w:val="22"/>
          <w:szCs w:val="22"/>
        </w:rPr>
        <w:t>, compartilhando edital único aprovado pelas respectivas CEF/</w:t>
      </w:r>
      <w:proofErr w:type="spellStart"/>
      <w:r>
        <w:rPr>
          <w:rFonts w:ascii="Times New Roman" w:hAnsi="Times New Roman"/>
          <w:sz w:val="22"/>
          <w:szCs w:val="22"/>
        </w:rPr>
        <w:t>UFs</w:t>
      </w:r>
      <w:proofErr w:type="spellEnd"/>
      <w:r>
        <w:rPr>
          <w:rFonts w:ascii="Times New Roman" w:hAnsi="Times New Roman"/>
          <w:sz w:val="22"/>
          <w:szCs w:val="22"/>
        </w:rPr>
        <w:t xml:space="preserve"> envolvidas.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público alvo abrange </w:t>
      </w:r>
      <w:proofErr w:type="gramStart"/>
      <w:r>
        <w:rPr>
          <w:rFonts w:ascii="Times New Roman" w:hAnsi="Times New Roman"/>
          <w:sz w:val="22"/>
          <w:szCs w:val="22"/>
        </w:rPr>
        <w:t>egressos</w:t>
      </w:r>
      <w:proofErr w:type="gramEnd"/>
      <w:r>
        <w:rPr>
          <w:rFonts w:ascii="Times New Roman" w:hAnsi="Times New Roman"/>
          <w:sz w:val="22"/>
          <w:szCs w:val="22"/>
        </w:rPr>
        <w:t xml:space="preserve"> e seus professores orientadores, de curso de graduação em Arquitetur</w:t>
      </w:r>
      <w:r>
        <w:rPr>
          <w:rFonts w:ascii="Times New Roman" w:hAnsi="Times New Roman"/>
          <w:sz w:val="22"/>
          <w:szCs w:val="22"/>
        </w:rPr>
        <w:t>a e Urbanismo oficialmente reconhecido e regular junto aos órgãos competentes (com portaria de reconhecimento publicada no ato de encerramento das inscrições). Os Trabalhos Finais de Graduação inscritos deverão ter sido aprovados por banca examinadora, con</w:t>
      </w:r>
      <w:r>
        <w:rPr>
          <w:rFonts w:ascii="Times New Roman" w:hAnsi="Times New Roman"/>
          <w:sz w:val="22"/>
          <w:szCs w:val="22"/>
        </w:rPr>
        <w:t>forme regulamentação da IES.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jc w:val="both"/>
      </w:pPr>
      <w:r>
        <w:rPr>
          <w:rFonts w:ascii="Times New Roman" w:hAnsi="Times New Roman"/>
          <w:sz w:val="22"/>
          <w:szCs w:val="22"/>
        </w:rPr>
        <w:t>O Edital deve definir o prazo para submissão ao prêmio, a partir da aprovação dos trabalhos em banca pela instituição. Recomenda-se um prazo não superior a 24 meses (últimos dois anos), excetuando-se a primeira edição da premi</w:t>
      </w:r>
      <w:r>
        <w:rPr>
          <w:rFonts w:ascii="Times New Roman" w:hAnsi="Times New Roman"/>
          <w:sz w:val="22"/>
          <w:szCs w:val="22"/>
        </w:rPr>
        <w:t xml:space="preserve">ação, que poderá retroagir de um período superior. 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Critérios de habilitação e participação:</w:t>
      </w:r>
    </w:p>
    <w:p w:rsidR="006D7AEE" w:rsidRDefault="006D7AEE">
      <w:pPr>
        <w:jc w:val="both"/>
        <w:rPr>
          <w:rFonts w:ascii="Times New Roman" w:hAnsi="Times New Roman"/>
          <w:b/>
          <w:sz w:val="22"/>
          <w:szCs w:val="22"/>
        </w:rPr>
      </w:pPr>
    </w:p>
    <w:p w:rsidR="006D7AEE" w:rsidRDefault="001375E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curso deverá ter cadastro completo junto ao CAU, que pressupõe, obrigatoriamente, coordenador arquiteto e urbanista. O prazo para a aprovação do cadastro de</w:t>
      </w:r>
      <w:r>
        <w:rPr>
          <w:rFonts w:ascii="Times New Roman" w:hAnsi="Times New Roman"/>
          <w:sz w:val="22"/>
          <w:szCs w:val="22"/>
        </w:rPr>
        <w:t xml:space="preserve">ve ser previsto no edital, em data anterior à abertura de inscrição de trabalhos, competindo ao CAU/UF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conferência e envio de informações, e à CEF-CAU/BR a deliberação sobre o status do cadastro, conforme Deliberação 002/2018 CEF-CAU/BR (e outras) sobre </w:t>
      </w:r>
      <w:r>
        <w:rPr>
          <w:rFonts w:ascii="Times New Roman" w:hAnsi="Times New Roman"/>
          <w:sz w:val="22"/>
          <w:szCs w:val="22"/>
        </w:rPr>
        <w:t>o cadastro de cursos. Recomenda-se que o CAU/UF comece o processo com pelo menos 60 dias de antecedência da abertura das inscrições;</w:t>
      </w:r>
    </w:p>
    <w:p w:rsidR="006D7AEE" w:rsidRDefault="001375E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Poderão ser inscritos apenas trabalhos individuais realizados por egresso de curso de graduação em Arquitetura e Urbanismo </w:t>
      </w:r>
      <w:r>
        <w:rPr>
          <w:rFonts w:ascii="Times New Roman" w:hAnsi="Times New Roman"/>
          <w:sz w:val="22"/>
          <w:szCs w:val="22"/>
        </w:rPr>
        <w:t>oficialmente reconhecido, que tenha portaria de reconhecimento publicada no ato de encerramento das inscrições;</w:t>
      </w:r>
    </w:p>
    <w:p w:rsidR="006D7AEE" w:rsidRDefault="001375E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Poderão ser inscritos apenas trabalhos orientados por docente Arquiteto e Urbanista registrado no CAU;</w:t>
      </w:r>
    </w:p>
    <w:p w:rsidR="006D7AEE" w:rsidRDefault="001375E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Poderão ser inscritos apenas trabalhos te</w:t>
      </w:r>
      <w:r>
        <w:rPr>
          <w:rFonts w:ascii="Times New Roman" w:hAnsi="Times New Roman"/>
          <w:sz w:val="22"/>
          <w:szCs w:val="22"/>
        </w:rPr>
        <w:t>nham sido aprovados por banca examinadora conforme regulamentação da IES;</w:t>
      </w:r>
    </w:p>
    <w:p w:rsidR="006D7AEE" w:rsidRDefault="001375E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Cada trabalho poderá ser inscrito uma única vez;</w:t>
      </w:r>
    </w:p>
    <w:p w:rsidR="006D7AEE" w:rsidRDefault="001375E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CAU/UF definirá no edital a amostragem de trabalhos inscritos por curso, sugerindo que os cursos realizem a seleção dos trabalhos p</w:t>
      </w:r>
      <w:r>
        <w:rPr>
          <w:rFonts w:ascii="Times New Roman" w:hAnsi="Times New Roman"/>
          <w:sz w:val="22"/>
          <w:szCs w:val="22"/>
        </w:rPr>
        <w:t xml:space="preserve">ara participação no concurso, em quantidade de </w:t>
      </w:r>
      <w:proofErr w:type="gramStart"/>
      <w:r>
        <w:rPr>
          <w:rFonts w:ascii="Times New Roman" w:hAnsi="Times New Roman"/>
          <w:sz w:val="22"/>
          <w:szCs w:val="22"/>
        </w:rPr>
        <w:t>1</w:t>
      </w:r>
      <w:proofErr w:type="gramEnd"/>
      <w:r>
        <w:rPr>
          <w:rFonts w:ascii="Times New Roman" w:hAnsi="Times New Roman"/>
          <w:sz w:val="22"/>
          <w:szCs w:val="22"/>
        </w:rPr>
        <w:t xml:space="preserve"> (um) trabalho para cada grupo de 20 (vinte) formandos ou fração, com máximo de 10 (dez) trabalhos por curso. </w:t>
      </w:r>
    </w:p>
    <w:p w:rsidR="006D7AEE" w:rsidRDefault="001375E4">
      <w:pPr>
        <w:pStyle w:val="Textodecomentrio"/>
        <w:numPr>
          <w:ilvl w:val="0"/>
          <w:numId w:val="2"/>
        </w:numPr>
        <w:rPr>
          <w:rFonts w:ascii="Times New Roman" w:eastAsia="Cambria" w:hAnsi="Times New Roman"/>
          <w:sz w:val="22"/>
          <w:szCs w:val="22"/>
        </w:rPr>
      </w:pPr>
      <w:r>
        <w:rPr>
          <w:rFonts w:ascii="Times New Roman" w:eastAsia="Cambria" w:hAnsi="Times New Roman"/>
          <w:sz w:val="22"/>
          <w:szCs w:val="22"/>
        </w:rPr>
        <w:lastRenderedPageBreak/>
        <w:t xml:space="preserve">O CAU/UF deve informar sobre os critérios de premiação para o professor (vide item </w:t>
      </w:r>
      <w:proofErr w:type="gramStart"/>
      <w:r>
        <w:rPr>
          <w:rFonts w:ascii="Times New Roman" w:eastAsia="Cambria" w:hAnsi="Times New Roman"/>
          <w:sz w:val="22"/>
          <w:szCs w:val="22"/>
        </w:rPr>
        <w:t>6</w:t>
      </w:r>
      <w:proofErr w:type="gramEnd"/>
      <w:r>
        <w:rPr>
          <w:rFonts w:ascii="Times New Roman" w:eastAsia="Cambria" w:hAnsi="Times New Roman"/>
          <w:sz w:val="22"/>
          <w:szCs w:val="22"/>
        </w:rPr>
        <w:t xml:space="preserve">); </w:t>
      </w:r>
    </w:p>
    <w:p w:rsidR="006D7AEE" w:rsidRDefault="001375E4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4. Forma </w:t>
      </w:r>
      <w:r>
        <w:rPr>
          <w:rFonts w:ascii="Times New Roman" w:hAnsi="Times New Roman"/>
          <w:b/>
          <w:sz w:val="22"/>
          <w:szCs w:val="22"/>
        </w:rPr>
        <w:t>de inscrição e apresentação dos trabalhos</w:t>
      </w:r>
      <w:r>
        <w:rPr>
          <w:rFonts w:ascii="Times New Roman" w:hAnsi="Times New Roman"/>
          <w:sz w:val="22"/>
          <w:szCs w:val="22"/>
        </w:rPr>
        <w:t>: O edital deverá prever e detalhar a forma e prazo de inscrição e apresentação dos trabalhos. A autoria e orientação dos trabalhos devem ser mantidas em sigilo até a divulgação dos resultados, para assegurar a impa</w:t>
      </w:r>
      <w:r>
        <w:rPr>
          <w:rFonts w:ascii="Times New Roman" w:hAnsi="Times New Roman"/>
          <w:sz w:val="22"/>
          <w:szCs w:val="22"/>
        </w:rPr>
        <w:t xml:space="preserve">rcialidade do resultado. Desta forma, deverá ser prevista padronização da entrega de forma a assegurar a não identificação dos concorrentes pela banca julgadora. 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pStyle w:val="Textodecomentrio"/>
        <w:jc w:val="both"/>
      </w:pPr>
      <w:r>
        <w:rPr>
          <w:rFonts w:ascii="Times New Roman" w:hAnsi="Times New Roman"/>
          <w:b/>
          <w:sz w:val="22"/>
          <w:szCs w:val="22"/>
        </w:rPr>
        <w:t xml:space="preserve">5. Critérios de seleção: </w:t>
      </w:r>
      <w:r>
        <w:rPr>
          <w:rFonts w:ascii="Times New Roman" w:hAnsi="Times New Roman"/>
          <w:sz w:val="22"/>
          <w:szCs w:val="22"/>
        </w:rPr>
        <w:t>O Edital deverá especificar os critérios para a seleção dos trabalh</w:t>
      </w:r>
      <w:r>
        <w:rPr>
          <w:rFonts w:ascii="Times New Roman" w:hAnsi="Times New Roman"/>
          <w:sz w:val="22"/>
          <w:szCs w:val="22"/>
        </w:rPr>
        <w:t>os a serem premiados, alinhados aos objetivos definidos e visando a qualidade da formação profissional e sua adequação ao contexto regional.</w:t>
      </w:r>
    </w:p>
    <w:p w:rsidR="006D7AEE" w:rsidRDefault="001375E4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 Edital deverá contemplar, entre os critérios de classificação e pontuação, a previsão de:</w:t>
      </w:r>
    </w:p>
    <w:p w:rsidR="006D7AEE" w:rsidRDefault="001375E4">
      <w:pPr>
        <w:pStyle w:val="PargrafodaLista"/>
        <w:numPr>
          <w:ilvl w:val="0"/>
          <w:numId w:val="3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Presença de avaliador e</w:t>
      </w:r>
      <w:r>
        <w:rPr>
          <w:rFonts w:ascii="Times New Roman" w:eastAsia="Calibri" w:hAnsi="Times New Roman"/>
          <w:sz w:val="22"/>
          <w:szCs w:val="22"/>
        </w:rPr>
        <w:t>xterno na banca avaliadora da IES;</w:t>
      </w:r>
    </w:p>
    <w:p w:rsidR="006D7AEE" w:rsidRDefault="001375E4">
      <w:pPr>
        <w:pStyle w:val="PargrafodaLista"/>
        <w:numPr>
          <w:ilvl w:val="0"/>
          <w:numId w:val="3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Caráter teórico-prático dos trabalhos;</w:t>
      </w:r>
    </w:p>
    <w:p w:rsidR="006D7AEE" w:rsidRDefault="001375E4">
      <w:pPr>
        <w:pStyle w:val="PargrafodaLista"/>
        <w:numPr>
          <w:ilvl w:val="0"/>
          <w:numId w:val="3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Alinhamento do tema aos campos de atuação profissional;</w:t>
      </w:r>
    </w:p>
    <w:p w:rsidR="006D7AEE" w:rsidRDefault="006D7AEE">
      <w:pPr>
        <w:pStyle w:val="PargrafodaLista"/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6D7AEE" w:rsidRDefault="001375E4">
      <w:pPr>
        <w:jc w:val="both"/>
      </w:pPr>
      <w:r>
        <w:rPr>
          <w:rFonts w:ascii="Times New Roman" w:hAnsi="Times New Roman"/>
          <w:sz w:val="22"/>
          <w:szCs w:val="22"/>
        </w:rPr>
        <w:t xml:space="preserve">O Edital deverá detalhar a composição da banca avaliadora e preservar a transparência e idoneidade do processo. Deverão ser </w:t>
      </w:r>
      <w:r>
        <w:rPr>
          <w:rFonts w:ascii="Times New Roman" w:hAnsi="Times New Roman"/>
          <w:sz w:val="22"/>
          <w:szCs w:val="22"/>
        </w:rPr>
        <w:t xml:space="preserve">previstos no edital os impedimentos de participação de avaliadores, sendo o CAU/UF responsável por analisar e mitigar situações de conflito de interesses. </w:t>
      </w:r>
    </w:p>
    <w:p w:rsidR="006D7AEE" w:rsidRDefault="006D7AEE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6D7AEE" w:rsidRDefault="001375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Não deverão compor a banca avaliadora integrantes do corpo técnico funcional do(s) CAU/UF(s). A par</w:t>
      </w:r>
      <w:r>
        <w:rPr>
          <w:rFonts w:ascii="Times New Roman" w:hAnsi="Times New Roman"/>
          <w:sz w:val="22"/>
          <w:szCs w:val="22"/>
        </w:rPr>
        <w:t xml:space="preserve">ticipação de conselheiros do(s) CAU/UF(s) de abrangência do concurso </w:t>
      </w:r>
      <w:proofErr w:type="gramStart"/>
      <w:r>
        <w:rPr>
          <w:rFonts w:ascii="Times New Roman" w:hAnsi="Times New Roman"/>
          <w:sz w:val="22"/>
          <w:szCs w:val="22"/>
        </w:rPr>
        <w:t>deverão ser limitados</w:t>
      </w:r>
      <w:proofErr w:type="gramEnd"/>
      <w:r>
        <w:rPr>
          <w:rFonts w:ascii="Times New Roman" w:hAnsi="Times New Roman"/>
          <w:sz w:val="22"/>
          <w:szCs w:val="22"/>
        </w:rPr>
        <w:t xml:space="preserve"> ao máximo de 2/3 do total da banca.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jc w:val="both"/>
      </w:pPr>
      <w:r>
        <w:rPr>
          <w:rFonts w:ascii="Times New Roman" w:hAnsi="Times New Roman"/>
          <w:b/>
          <w:sz w:val="22"/>
          <w:szCs w:val="22"/>
        </w:rPr>
        <w:t>6. Premiação e pagamentos a participantes:</w:t>
      </w:r>
      <w:r>
        <w:rPr>
          <w:rFonts w:ascii="Times New Roman" w:hAnsi="Times New Roman"/>
          <w:sz w:val="22"/>
          <w:szCs w:val="22"/>
        </w:rPr>
        <w:t xml:space="preserve"> A premiação deverá ser descrita no edital, e quando houver premiação em dinheiro, dev</w:t>
      </w:r>
      <w:r>
        <w:rPr>
          <w:rFonts w:ascii="Times New Roman" w:hAnsi="Times New Roman"/>
          <w:sz w:val="22"/>
          <w:szCs w:val="22"/>
        </w:rPr>
        <w:t>erá ser indicada a respectiva correspondência no plano de ação aprovado e seu centro de custos.</w:t>
      </w:r>
    </w:p>
    <w:p w:rsidR="006D7AEE" w:rsidRDefault="006D7AEE">
      <w:pPr>
        <w:pStyle w:val="Default"/>
        <w:jc w:val="both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</w:p>
    <w:p w:rsidR="006D7AEE" w:rsidRDefault="001375E4">
      <w:pPr>
        <w:pStyle w:val="Default"/>
        <w:jc w:val="both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O pagamento de qualquer despesa (passagem, deslocamento ou diária) ou premiação a docente orientador, convidado ou outro profissional Arquiteto e Urbanista em </w:t>
      </w:r>
      <w:r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qualquer instância do processo está condicionado aos termos da Resolução 47/2013 e DPOBR_0070-10-2017, devendo-se verificar:</w:t>
      </w:r>
    </w:p>
    <w:p w:rsidR="006D7AEE" w:rsidRDefault="006D7AEE">
      <w:pPr>
        <w:pStyle w:val="Default"/>
        <w:jc w:val="both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</w:p>
    <w:p w:rsidR="006D7AEE" w:rsidRDefault="001375E4">
      <w:pPr>
        <w:pStyle w:val="Default"/>
        <w:ind w:left="720" w:hanging="360"/>
        <w:jc w:val="both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a) Se o arquiteto e urbanista possui registro ativo no CAU; </w:t>
      </w:r>
    </w:p>
    <w:p w:rsidR="006D7AEE" w:rsidRDefault="001375E4">
      <w:pPr>
        <w:pStyle w:val="Default"/>
        <w:ind w:left="720" w:hanging="360"/>
        <w:jc w:val="both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>b) Se o arquiteto e urbanista está em dia com as suas obrigações para</w:t>
      </w:r>
      <w:r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 com o CAU; </w:t>
      </w:r>
      <w:proofErr w:type="gramStart"/>
      <w:r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>e</w:t>
      </w:r>
      <w:proofErr w:type="gramEnd"/>
      <w:r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 </w:t>
      </w:r>
    </w:p>
    <w:p w:rsidR="006D7AEE" w:rsidRDefault="001375E4">
      <w:pPr>
        <w:pStyle w:val="Default"/>
        <w:ind w:left="720" w:hanging="360"/>
        <w:jc w:val="both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c) Se o arquiteto e urbanista não está cumprindo sanção de suspensão por falta ética. </w:t>
      </w:r>
    </w:p>
    <w:p w:rsidR="006D7AEE" w:rsidRDefault="006D7AEE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D7AEE" w:rsidRDefault="001375E4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7. Cronograma: </w:t>
      </w:r>
      <w:r>
        <w:rPr>
          <w:rFonts w:ascii="Times New Roman" w:hAnsi="Times New Roman"/>
          <w:sz w:val="22"/>
          <w:szCs w:val="22"/>
        </w:rPr>
        <w:t>O cronograma das ações deverá ser detalhado e divulgado, indicando-se os prazos de inscrição, avaliação e premiação.</w:t>
      </w:r>
    </w:p>
    <w:p w:rsidR="006D7AEE" w:rsidRDefault="001375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D7AEE" w:rsidRDefault="001375E4">
      <w:pPr>
        <w:jc w:val="both"/>
      </w:pPr>
      <w:r>
        <w:rPr>
          <w:rFonts w:ascii="Times New Roman" w:hAnsi="Times New Roman"/>
          <w:b/>
          <w:sz w:val="22"/>
          <w:szCs w:val="22"/>
        </w:rPr>
        <w:t>8. Banco de dados d</w:t>
      </w:r>
      <w:r>
        <w:rPr>
          <w:rFonts w:ascii="Times New Roman" w:hAnsi="Times New Roman"/>
          <w:b/>
          <w:sz w:val="22"/>
          <w:szCs w:val="22"/>
        </w:rPr>
        <w:t>e inscritos e premiados:</w:t>
      </w:r>
      <w:r>
        <w:rPr>
          <w:rFonts w:ascii="Times New Roman" w:hAnsi="Times New Roman"/>
          <w:sz w:val="22"/>
          <w:szCs w:val="22"/>
        </w:rPr>
        <w:t xml:space="preserve"> Para fins de tabulação e possíveis análises futuras como subsídios para gestão e tomada de decisão pela CEF, solicita-se que nas fichas de inscrição sejam coletados e enviados para a CEF-CAU/BR, após a premiação, os seguintes </w:t>
      </w:r>
      <w:r>
        <w:rPr>
          <w:rFonts w:ascii="Times New Roman" w:hAnsi="Times New Roman"/>
          <w:sz w:val="22"/>
          <w:szCs w:val="22"/>
        </w:rPr>
        <w:t>dados, de preenchimento opcional:</w:t>
      </w:r>
    </w:p>
    <w:p w:rsidR="006D7AEE" w:rsidRDefault="006D7AEE">
      <w:pPr>
        <w:jc w:val="both"/>
        <w:rPr>
          <w:rFonts w:ascii="Times New Roman" w:hAnsi="Times New Roman"/>
          <w:sz w:val="22"/>
          <w:szCs w:val="22"/>
        </w:rPr>
      </w:pPr>
    </w:p>
    <w:p w:rsidR="006D7AEE" w:rsidRDefault="001375E4">
      <w:pPr>
        <w:pStyle w:val="PargrafodaLista"/>
        <w:numPr>
          <w:ilvl w:val="0"/>
          <w:numId w:val="4"/>
        </w:numPr>
        <w:jc w:val="both"/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>Idade: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>Nacionalidade: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>Ensino Médio: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 xml:space="preserve">  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>[ ] público [ ] privado [ ] no exterior [ ] outro:____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 xml:space="preserve">Gênero: 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 xml:space="preserve">] mulher [ ] homem [ ] outro:____ [ ] não desejo declarar 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 xml:space="preserve">Cor/Raça: 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>] Branca [ ] Preta [ ] Parda [ ] Indígena [ ] Am</w:t>
      </w:r>
      <w:r>
        <w:rPr>
          <w:rFonts w:ascii="Times New Roman" w:eastAsia="Calibri" w:hAnsi="Times New Roman"/>
          <w:i/>
          <w:sz w:val="22"/>
          <w:szCs w:val="22"/>
        </w:rPr>
        <w:t xml:space="preserve">arela [ ] outro:_____ [ ] não desejo declarar 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lastRenderedPageBreak/>
        <w:t xml:space="preserve">Forma de ingresso: 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>] processo seletivo [ ] Seleção para vagas de programas especiais [ ] Seleção para vagas remanescentes [ ] Ingresso por outra forma:______</w:t>
      </w:r>
      <w:r>
        <w:rPr>
          <w:rFonts w:ascii="Times New Roman" w:eastAsia="Calibri" w:hAnsi="Times New Roman"/>
          <w:i/>
          <w:sz w:val="22"/>
          <w:szCs w:val="22"/>
        </w:rPr>
        <w:tab/>
      </w:r>
      <w:r>
        <w:rPr>
          <w:rFonts w:ascii="Times New Roman" w:eastAsia="Calibri" w:hAnsi="Times New Roman"/>
          <w:i/>
          <w:sz w:val="22"/>
          <w:szCs w:val="22"/>
        </w:rPr>
        <w:tab/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>Participou de programa de intercâmbio acadêmico</w:t>
      </w:r>
      <w:r>
        <w:rPr>
          <w:rFonts w:ascii="Times New Roman" w:eastAsia="Calibri" w:hAnsi="Times New Roman"/>
          <w:i/>
          <w:sz w:val="22"/>
          <w:szCs w:val="22"/>
        </w:rPr>
        <w:t xml:space="preserve">? 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 xml:space="preserve">] sim [ ] não 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 xml:space="preserve">Se sim, informe o local do intercâmbio: 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>] Brasil [ ] Exterior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 xml:space="preserve">Participou de projeto de iniciação científica? 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>] sim [ ] não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 xml:space="preserve">Participou de projeto de extensão? 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>] sim [ ] não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 xml:space="preserve">Quanto tempo de estágio realizou? 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 xml:space="preserve">[    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>] meses</w:t>
      </w:r>
    </w:p>
    <w:p w:rsidR="006D7AEE" w:rsidRDefault="001375E4">
      <w:pPr>
        <w:pStyle w:val="PargrafodaLista"/>
        <w:numPr>
          <w:ilvl w:val="0"/>
          <w:numId w:val="4"/>
        </w:numPr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i/>
          <w:sz w:val="22"/>
          <w:szCs w:val="22"/>
        </w:rPr>
        <w:t>Quais campos</w:t>
      </w:r>
      <w:r>
        <w:rPr>
          <w:rFonts w:ascii="Times New Roman" w:eastAsia="Calibri" w:hAnsi="Times New Roman"/>
          <w:i/>
          <w:sz w:val="22"/>
          <w:szCs w:val="22"/>
        </w:rPr>
        <w:t xml:space="preserve"> tem maior interesse de atuar profissionalmente? Numere de 1 a 5 por ordem de prioridade, sendo </w:t>
      </w:r>
      <w:proofErr w:type="gramStart"/>
      <w:r>
        <w:rPr>
          <w:rFonts w:ascii="Times New Roman" w:eastAsia="Calibri" w:hAnsi="Times New Roman"/>
          <w:i/>
          <w:sz w:val="22"/>
          <w:szCs w:val="22"/>
        </w:rPr>
        <w:t>1</w:t>
      </w:r>
      <w:proofErr w:type="gramEnd"/>
      <w:r>
        <w:rPr>
          <w:rFonts w:ascii="Times New Roman" w:eastAsia="Calibri" w:hAnsi="Times New Roman"/>
          <w:i/>
          <w:sz w:val="22"/>
          <w:szCs w:val="22"/>
        </w:rPr>
        <w:t xml:space="preserve"> o campo preferencial: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PROJETO/ EXECUÇÃO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ARQUITETURA DAS EDIFICAÇÕES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SISTEMAS CONSTRUTIVOS E ESTRUTURAIS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CONFORTO AMBIENTAL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>] ARQUITETUR</w:t>
      </w:r>
      <w:r>
        <w:rPr>
          <w:rFonts w:ascii="Times New Roman" w:hAnsi="Times New Roman"/>
          <w:i/>
          <w:sz w:val="22"/>
          <w:szCs w:val="22"/>
        </w:rPr>
        <w:t xml:space="preserve">A DE INTERIORES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INSTALAÇÕES E EQUIPAMENTOS REFERENTES À ARQUITETURA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ARQUITETURA PAISAGÍSTICA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RELATÓRIOS TÉCNICOS DE ARQUITETURA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URBANISMO E DESENHO URBANO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INSTALAÇÕES E EQUIPAMENTOS REFERENTES AO URBANISMO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RELATÓRIOS TÉCNICOS </w:t>
      </w:r>
      <w:r>
        <w:rPr>
          <w:rFonts w:ascii="Times New Roman" w:hAnsi="Times New Roman"/>
          <w:i/>
          <w:sz w:val="22"/>
          <w:szCs w:val="22"/>
        </w:rPr>
        <w:t xml:space="preserve">URBANÍSTICOS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PATRIMÔNIO ARQUITETÔNICO, URBANÍSTICO E PAISAGÍSTICO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PATRIMÔNIO ARQUITETÔNICO, URBANÍSTICO E PAISAGÍSTICO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GESTÃO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GEORREFERENCIAMENTO E TOPOGRAFIA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MEIO AMBIENTE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PLANEJAMENTO REGIONAL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PLANEJAMENTO URBANO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>] A</w:t>
      </w:r>
      <w:r>
        <w:rPr>
          <w:rFonts w:ascii="Times New Roman" w:hAnsi="Times New Roman"/>
          <w:i/>
          <w:sz w:val="22"/>
          <w:szCs w:val="22"/>
        </w:rPr>
        <w:t xml:space="preserve">TIVIDADES ESPECIAIS EM ARQUITETURA E URBANISMO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ENSINO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PESQUISA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TECNOLOGIA DA CONSTRUÇÃO E CONTROLE DE QUALIDADE </w:t>
      </w:r>
    </w:p>
    <w:p w:rsidR="006D7AEE" w:rsidRDefault="001375E4">
      <w:pPr>
        <w:ind w:left="709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] ENGENHARIA DE SEGURANÇA DO TRABALHO </w:t>
      </w:r>
    </w:p>
    <w:p w:rsidR="006D7AEE" w:rsidRDefault="001375E4">
      <w:pPr>
        <w:ind w:left="709"/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[ </w:t>
      </w:r>
      <w:proofErr w:type="gramEnd"/>
      <w:r>
        <w:rPr>
          <w:rFonts w:ascii="Times New Roman" w:hAnsi="Times New Roman"/>
          <w:i/>
          <w:sz w:val="22"/>
          <w:szCs w:val="22"/>
        </w:rPr>
        <w:t>] OUTROS</w:t>
      </w:r>
    </w:p>
    <w:p w:rsidR="006D7AEE" w:rsidRDefault="006D7AEE">
      <w:pPr>
        <w:tabs>
          <w:tab w:val="left" w:pos="5209"/>
        </w:tabs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6D7AEE">
      <w:headerReference w:type="default" r:id="rId8"/>
      <w:footerReference w:type="default" r:id="rId9"/>
      <w:pgSz w:w="11900" w:h="16840"/>
      <w:pgMar w:top="1985" w:right="1128" w:bottom="1843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5E4">
      <w:r>
        <w:separator/>
      </w:r>
    </w:p>
  </w:endnote>
  <w:endnote w:type="continuationSeparator" w:id="0">
    <w:p w:rsidR="00000000" w:rsidRDefault="001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E" w:rsidRDefault="001375E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4055E" w:rsidRDefault="001375E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74055E" w:rsidRDefault="001375E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5E4">
      <w:r>
        <w:rPr>
          <w:color w:val="000000"/>
        </w:rPr>
        <w:separator/>
      </w:r>
    </w:p>
  </w:footnote>
  <w:footnote w:type="continuationSeparator" w:id="0">
    <w:p w:rsidR="00000000" w:rsidRDefault="0013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E" w:rsidRDefault="001375E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ADF"/>
    <w:multiLevelType w:val="multilevel"/>
    <w:tmpl w:val="BFE42E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A83976"/>
    <w:multiLevelType w:val="multilevel"/>
    <w:tmpl w:val="353E1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B4777"/>
    <w:multiLevelType w:val="multilevel"/>
    <w:tmpl w:val="CDC8FE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3416576"/>
    <w:multiLevelType w:val="multilevel"/>
    <w:tmpl w:val="432A1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AEE"/>
    <w:rsid w:val="001375E4"/>
    <w:rsid w:val="006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paragraph" w:customStyle="1" w:styleId="default0">
    <w:name w:val="default"/>
    <w:basedOn w:val="Normal"/>
    <w:pPr>
      <w:suppressAutoHyphens w:val="0"/>
      <w:textAlignment w:val="auto"/>
    </w:pPr>
    <w:rPr>
      <w:rFonts w:ascii="Times New Roman" w:eastAsia="Calibri" w:hAnsi="Times New Roman"/>
      <w:lang w:eastAsia="pt-BR"/>
    </w:rPr>
  </w:style>
  <w:style w:type="paragraph" w:styleId="Textodecomentrio">
    <w:name w:val="annotation text"/>
    <w:basedOn w:val="Normal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paragraph" w:customStyle="1" w:styleId="default0">
    <w:name w:val="default"/>
    <w:basedOn w:val="Normal"/>
    <w:pPr>
      <w:suppressAutoHyphens w:val="0"/>
      <w:textAlignment w:val="auto"/>
    </w:pPr>
    <w:rPr>
      <w:rFonts w:ascii="Times New Roman" w:eastAsia="Calibri" w:hAnsi="Times New Roman"/>
      <w:lang w:eastAsia="pt-BR"/>
    </w:rPr>
  </w:style>
  <w:style w:type="paragraph" w:styleId="Textodecomentrio">
    <w:name w:val="annotation text"/>
    <w:basedOn w:val="Normal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8031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2019-04-11T17:20:00Z</cp:lastPrinted>
  <dcterms:created xsi:type="dcterms:W3CDTF">2019-04-24T20:04:00Z</dcterms:created>
  <dcterms:modified xsi:type="dcterms:W3CDTF">2019-04-24T20:04:00Z</dcterms:modified>
</cp:coreProperties>
</file>