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82791F">
            <w:pPr>
              <w:pStyle w:val="SemEspaamento"/>
              <w:rPr>
                <w:lang w:eastAsia="pt-BR"/>
              </w:rPr>
            </w:pPr>
            <w:r w:rsidRPr="008153E5">
              <w:rPr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C513E9" w:rsidRDefault="00C513E9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C513E9">
              <w:rPr>
                <w:rFonts w:ascii="Times New Roman" w:hAnsi="Times New Roman"/>
                <w:color w:val="000000"/>
                <w:lang w:eastAsia="pt-BR"/>
              </w:rPr>
              <w:t>ORIENTAÇÃO PELA SUSPENSÃO DOS PRAZOS PROCESSUAIS NOS CAU/UF E CAU/BR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F43C6D">
        <w:rPr>
          <w:rFonts w:ascii="Times New Roman" w:hAnsi="Times New Roman"/>
          <w:smallCaps/>
          <w:lang w:eastAsia="pt-BR"/>
        </w:rPr>
        <w:t>2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F21DED">
        <w:rPr>
          <w:rFonts w:ascii="Times New Roman" w:eastAsia="Times New Roman" w:hAnsi="Times New Roman"/>
          <w:lang w:eastAsia="pt-BR"/>
        </w:rPr>
        <w:t>extra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F21DED">
        <w:rPr>
          <w:rFonts w:ascii="Times New Roman" w:eastAsia="Times New Roman" w:hAnsi="Times New Roman"/>
          <w:lang w:eastAsia="pt-BR"/>
        </w:rPr>
        <w:t>14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CE360B" w:rsidRPr="008153E5" w:rsidRDefault="00CE360B" w:rsidP="00CE360B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F21DED" w:rsidRDefault="00CE360B" w:rsidP="00F21DED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Decreto Legislativo nº 6, de 20 de março de 2020, que reconhece, para os fins do art. 65 da Lei Complementar nº 101, de 4 de maio de 2000, a ocorrência do estado de calamidade pública </w:t>
      </w:r>
      <w:r w:rsidRPr="007D0BEC">
        <w:rPr>
          <w:rFonts w:ascii="Times New Roman" w:hAnsi="Times New Roman"/>
        </w:rPr>
        <w:t>em decorrência da pandemia da COVID-19, com efeitos até 31 de dezembro de 2020;</w:t>
      </w:r>
    </w:p>
    <w:p w:rsidR="00F21DED" w:rsidRDefault="00F21DED" w:rsidP="00F21DED">
      <w:pPr>
        <w:spacing w:after="0pt"/>
        <w:jc w:val="both"/>
        <w:rPr>
          <w:rFonts w:ascii="Times New Roman" w:hAnsi="Times New Roman"/>
        </w:rPr>
      </w:pPr>
    </w:p>
    <w:p w:rsidR="007D0BEC" w:rsidRDefault="007D0BEC" w:rsidP="00F21DED">
      <w:pPr>
        <w:spacing w:after="0pt"/>
        <w:jc w:val="both"/>
        <w:rPr>
          <w:rFonts w:ascii="Times New Roman" w:eastAsia="Times New Roman" w:hAnsi="Times New Roman"/>
          <w:i/>
          <w:iCs/>
          <w:lang w:eastAsia="pt-BR"/>
        </w:rPr>
      </w:pPr>
      <w:r w:rsidRPr="007D0BEC">
        <w:rPr>
          <w:rFonts w:ascii="Times New Roman" w:eastAsia="Times New Roman" w:hAnsi="Times New Roman"/>
          <w:lang w:eastAsia="pt-BR"/>
        </w:rPr>
        <w:t xml:space="preserve">Considerando a Lei 13.979/2020, de 6 de fevereiro de 2020, que dispõe sobre as medidas para enfrentamento da emergência de saúde pública de importância internacional decorrente do coronavírus responsável pelo surto de 2019, e em seu artigo  6º-C, incluído pela Medida Provisória n° 928, de </w:t>
      </w:r>
      <w:hyperlink r:id="rId8" w:history="1">
        <w:r w:rsidRPr="007D0BEC">
          <w:rPr>
            <w:rFonts w:ascii="Times New Roman" w:eastAsia="Times New Roman" w:hAnsi="Times New Roman"/>
            <w:lang w:eastAsia="pt-BR"/>
          </w:rPr>
          <w:t xml:space="preserve"> 23 de março de 2020</w:t>
        </w:r>
      </w:hyperlink>
      <w:r w:rsidRPr="007D0BEC">
        <w:rPr>
          <w:rFonts w:ascii="Times New Roman" w:eastAsia="Times New Roman" w:hAnsi="Times New Roman"/>
          <w:lang w:eastAsia="pt-BR"/>
        </w:rPr>
        <w:t xml:space="preserve"> dispõe:  “</w:t>
      </w:r>
      <w:r w:rsidRPr="007D0BEC">
        <w:rPr>
          <w:rFonts w:ascii="Times New Roman" w:eastAsia="Times New Roman" w:hAnsi="Times New Roman"/>
          <w:i/>
          <w:iCs/>
          <w:lang w:eastAsia="pt-BR"/>
        </w:rPr>
        <w:t>Não correrão os prazos processuais em desfavor dos acusados e entes privados processados em processos administrativos enquanto perdurar o estado de calamidade de que trata o Decreto Legislativo nº 6, de 2020</w:t>
      </w:r>
      <w:r w:rsidRPr="007D0BEC">
        <w:rPr>
          <w:rFonts w:ascii="Times New Roman" w:eastAsia="Times New Roman" w:hAnsi="Times New Roman"/>
          <w:lang w:eastAsia="pt-BR"/>
        </w:rPr>
        <w:t>”.  E em seu parágrafo único: “</w:t>
      </w:r>
      <w:r w:rsidRPr="007D0BEC">
        <w:rPr>
          <w:rFonts w:ascii="Times New Roman" w:eastAsia="Times New Roman" w:hAnsi="Times New Roman"/>
          <w:i/>
          <w:iCs/>
          <w:lang w:eastAsia="pt-BR"/>
        </w:rPr>
        <w:t>Fica suspenso o transcurso dos prazos prescricionais para aplicação de sanções administrativas previstas na Lei nº 8.112, de 1990, na Lei nº 9.873, de 1999, na Lei nº 12.846, de 2013, e nas demais normas aplicáveis a empregados públicos.”</w:t>
      </w:r>
      <w:r w:rsidR="0082791F">
        <w:rPr>
          <w:rFonts w:ascii="Times New Roman" w:eastAsia="Times New Roman" w:hAnsi="Times New Roman"/>
          <w:i/>
          <w:iCs/>
          <w:lang w:eastAsia="pt-BR"/>
        </w:rPr>
        <w:t>;</w:t>
      </w:r>
    </w:p>
    <w:p w:rsidR="00F21DED" w:rsidRPr="007D0BEC" w:rsidRDefault="00F21DED" w:rsidP="00F21DED">
      <w:pPr>
        <w:spacing w:after="0pt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:rsidR="00F21DED" w:rsidRDefault="007D0BEC" w:rsidP="00F21DED">
      <w:pPr>
        <w:spacing w:after="0pt"/>
        <w:jc w:val="both"/>
        <w:rPr>
          <w:rStyle w:val="fontstyle01"/>
          <w:rFonts w:ascii="Times New Roman" w:hAnsi="Times New Roman"/>
        </w:rPr>
      </w:pPr>
      <w:r w:rsidRPr="007D0BEC">
        <w:rPr>
          <w:rFonts w:ascii="Times New Roman" w:eastAsia="Times New Roman" w:hAnsi="Times New Roman"/>
          <w:lang w:eastAsia="pt-BR"/>
        </w:rPr>
        <w:t xml:space="preserve">Considerando a adoção do regime de teletrabalho no CAU/BR e em todas unidades dos CAU/UF, em função da pandemia da COVID-19, o que </w:t>
      </w:r>
      <w:r w:rsidRPr="007D0BEC">
        <w:rPr>
          <w:rStyle w:val="fontstyle01"/>
          <w:rFonts w:ascii="Times New Roman" w:hAnsi="Times New Roman"/>
        </w:rPr>
        <w:t>impossibilita profissionais e sociedade realizarem protocolo de documentos nas sedes</w:t>
      </w:r>
      <w:r w:rsidR="0082791F">
        <w:rPr>
          <w:rStyle w:val="fontstyle01"/>
          <w:rFonts w:ascii="Times New Roman" w:hAnsi="Times New Roman"/>
        </w:rPr>
        <w:t xml:space="preserve"> e escritórios descentralizados; e</w:t>
      </w:r>
    </w:p>
    <w:p w:rsidR="00F21DED" w:rsidRDefault="00F21DED" w:rsidP="00F21DED">
      <w:pPr>
        <w:spacing w:after="0pt"/>
        <w:jc w:val="both"/>
        <w:rPr>
          <w:rStyle w:val="fontstyle01"/>
          <w:rFonts w:ascii="Times New Roman" w:hAnsi="Times New Roman"/>
        </w:rPr>
      </w:pPr>
    </w:p>
    <w:p w:rsidR="007D0BEC" w:rsidRDefault="007D0BEC" w:rsidP="00F21DED">
      <w:pPr>
        <w:spacing w:after="0pt"/>
        <w:jc w:val="both"/>
        <w:rPr>
          <w:rStyle w:val="fontstyle01"/>
          <w:rFonts w:ascii="Times New Roman" w:hAnsi="Times New Roman"/>
        </w:rPr>
      </w:pPr>
      <w:r w:rsidRPr="007D0BEC">
        <w:rPr>
          <w:rStyle w:val="fontstyle01"/>
          <w:rFonts w:ascii="Times New Roman" w:hAnsi="Times New Roman"/>
        </w:rPr>
        <w:t>Considerando a necessidade de garantia do contraditório e ampla defesa dos interessados nos processos administrativos em tramitação no âmbito do CAU.</w:t>
      </w:r>
    </w:p>
    <w:p w:rsidR="00B05285" w:rsidRDefault="00B05285" w:rsidP="003E6624">
      <w:pPr>
        <w:spacing w:before="12pt" w:after="12pt"/>
        <w:jc w:val="both"/>
        <w:rPr>
          <w:rFonts w:ascii="Times New Roman" w:hAnsi="Times New Roman"/>
          <w:b/>
          <w:lang w:eastAsia="pt-BR"/>
        </w:rPr>
      </w:pPr>
      <w:r w:rsidRPr="007D0BEC">
        <w:rPr>
          <w:rFonts w:ascii="Times New Roman" w:hAnsi="Times New Roman"/>
          <w:b/>
          <w:lang w:eastAsia="pt-BR"/>
        </w:rPr>
        <w:t>DELIBEROU:</w:t>
      </w:r>
    </w:p>
    <w:p w:rsidR="000C429E" w:rsidRPr="00F21DED" w:rsidRDefault="00012BA5" w:rsidP="0030617D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F21DED">
        <w:rPr>
          <w:rFonts w:ascii="Times New Roman" w:hAnsi="Times New Roman"/>
          <w:bCs/>
          <w:lang w:eastAsia="pt-BR"/>
        </w:rPr>
        <w:t xml:space="preserve">Orientar os CAU/UF no sentido de que </w:t>
      </w:r>
      <w:r w:rsidR="0060139F" w:rsidRPr="00F21DED">
        <w:rPr>
          <w:rFonts w:ascii="Times New Roman" w:hAnsi="Times New Roman"/>
          <w:bCs/>
          <w:lang w:eastAsia="pt-BR"/>
        </w:rPr>
        <w:t>observem</w:t>
      </w:r>
      <w:r w:rsidRPr="00F21DED">
        <w:rPr>
          <w:rFonts w:ascii="Times New Roman" w:hAnsi="Times New Roman"/>
          <w:bCs/>
          <w:lang w:eastAsia="pt-BR"/>
        </w:rPr>
        <w:t xml:space="preserve"> os prazos processuais em processos punitivos, notadamente nos processos de fiscalização e ético-disciplinares, enquanto perdurar o estado de cal</w:t>
      </w:r>
      <w:r w:rsidR="00C55BC4" w:rsidRPr="00F21DED">
        <w:rPr>
          <w:rFonts w:ascii="Times New Roman" w:hAnsi="Times New Roman"/>
          <w:bCs/>
          <w:lang w:eastAsia="pt-BR"/>
        </w:rPr>
        <w:t>amidade pública relacionada ao C</w:t>
      </w:r>
      <w:r w:rsidRPr="00F21DED">
        <w:rPr>
          <w:rFonts w:ascii="Times New Roman" w:hAnsi="Times New Roman"/>
          <w:bCs/>
          <w:lang w:eastAsia="pt-BR"/>
        </w:rPr>
        <w:t xml:space="preserve">oronavírus (Covid-19), na forma do art. 6º-C da Lei </w:t>
      </w:r>
      <w:r w:rsidR="00F21DED" w:rsidRPr="00F21DED">
        <w:rPr>
          <w:rFonts w:ascii="Times New Roman" w:hAnsi="Times New Roman"/>
          <w:bCs/>
          <w:lang w:eastAsia="pt-BR"/>
        </w:rPr>
        <w:t xml:space="preserve">nº </w:t>
      </w:r>
      <w:r w:rsidRPr="00F21DED">
        <w:rPr>
          <w:rFonts w:ascii="Times New Roman" w:hAnsi="Times New Roman"/>
          <w:bCs/>
          <w:lang w:eastAsia="pt-BR"/>
        </w:rPr>
        <w:t>13.979, de 6 de fevereiro de 2020, incluído pela Medida Provisória nº 928, de 23 de março de 2020</w:t>
      </w:r>
      <w:r w:rsidR="00F21DED" w:rsidRPr="00F21DED">
        <w:rPr>
          <w:rFonts w:ascii="Times New Roman" w:hAnsi="Times New Roman"/>
          <w:bCs/>
          <w:lang w:eastAsia="pt-BR"/>
        </w:rPr>
        <w:t>.</w:t>
      </w:r>
    </w:p>
    <w:p w:rsidR="00F21DED" w:rsidRPr="00F21DED" w:rsidRDefault="00F21DED" w:rsidP="00F21DED">
      <w:pPr>
        <w:pStyle w:val="PargrafodaLista"/>
        <w:spacing w:after="0pt"/>
        <w:ind w:start="14.20pt"/>
        <w:jc w:val="both"/>
        <w:rPr>
          <w:rFonts w:ascii="Times New Roman" w:hAnsi="Times New Roman"/>
          <w:lang w:eastAsia="pt-BR"/>
        </w:rPr>
      </w:pPr>
    </w:p>
    <w:p w:rsidR="00F21DED" w:rsidRDefault="000C66DD" w:rsidP="00F21DED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F21DED">
        <w:rPr>
          <w:rFonts w:ascii="Times New Roman" w:hAnsi="Times New Roman"/>
        </w:rPr>
        <w:t>Regulamentar</w:t>
      </w:r>
      <w:r w:rsidR="0060139F" w:rsidRPr="00F21DED">
        <w:rPr>
          <w:rFonts w:ascii="Times New Roman" w:hAnsi="Times New Roman"/>
        </w:rPr>
        <w:t xml:space="preserve"> os procedimentos e ritos de fiscalização e ético disciplinares e processos administrativos, em relação aos prazos decorrentes do Decreto Legislativo nº 6, </w:t>
      </w:r>
      <w:r w:rsidR="00F21DED" w:rsidRPr="00F21DED">
        <w:rPr>
          <w:rFonts w:ascii="Times New Roman" w:hAnsi="Times New Roman"/>
        </w:rPr>
        <w:t>de 20 de março de 2020 em anexo.</w:t>
      </w:r>
    </w:p>
    <w:p w:rsidR="00F21DED" w:rsidRPr="00F21DED" w:rsidRDefault="00F21DED" w:rsidP="00F21DED">
      <w:pPr>
        <w:pStyle w:val="PargrafodaLista"/>
        <w:spacing w:after="0pt"/>
        <w:ind w:start="14.20pt"/>
        <w:jc w:val="both"/>
        <w:rPr>
          <w:rFonts w:ascii="Times New Roman" w:hAnsi="Times New Roman"/>
          <w:lang w:eastAsia="pt-BR"/>
        </w:rPr>
      </w:pPr>
    </w:p>
    <w:p w:rsidR="000C66DD" w:rsidRPr="0060139F" w:rsidRDefault="000C66DD" w:rsidP="000C429E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Aprovar a norma que regulamenta a </w:t>
      </w:r>
      <w:r w:rsidRPr="000C66DD">
        <w:rPr>
          <w:rFonts w:ascii="Times New Roman" w:hAnsi="Times New Roman"/>
          <w:lang w:eastAsia="pt-BR"/>
        </w:rPr>
        <w:t>condução de processos punitivos no âmbito do CAU/BR e dos CAU/UF, notadamente nos processos de fiscalização e ético-disciplinares, enquanto perdurar o estado de calamidade pública relacionada ao novo coronavírus (Sars-CoV-2), responsável pela pandemia de Covid-19</w:t>
      </w:r>
      <w:r w:rsidR="00F21DED">
        <w:rPr>
          <w:rFonts w:ascii="Times New Roman" w:hAnsi="Times New Roman"/>
          <w:lang w:eastAsia="pt-BR"/>
        </w:rPr>
        <w:t>, em anexo.</w:t>
      </w:r>
    </w:p>
    <w:p w:rsidR="0060139F" w:rsidRPr="0060139F" w:rsidRDefault="0060139F" w:rsidP="0060139F">
      <w:pPr>
        <w:pStyle w:val="PargrafodaLista"/>
        <w:rPr>
          <w:rFonts w:ascii="Times New Roman" w:hAnsi="Times New Roman"/>
          <w:bCs/>
          <w:lang w:eastAsia="pt-BR"/>
        </w:rPr>
      </w:pPr>
    </w:p>
    <w:p w:rsidR="00B05285" w:rsidRPr="000C429E" w:rsidRDefault="00B05285" w:rsidP="000C429E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0C429E">
        <w:rPr>
          <w:rFonts w:ascii="Times New Roman" w:hAnsi="Times New Roman"/>
          <w:bCs/>
          <w:lang w:eastAsia="pt-BR"/>
        </w:rPr>
        <w:t>Encaminhar esta deliberação para publicação no sítio eletrônico do CAU/BR.</w:t>
      </w:r>
    </w:p>
    <w:p w:rsidR="008153E5" w:rsidRPr="008153E5" w:rsidRDefault="0082791F" w:rsidP="00B05285">
      <w:pPr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br/>
      </w:r>
      <w:r w:rsidR="00B05285" w:rsidRPr="008153E5">
        <w:rPr>
          <w:rFonts w:ascii="Times New Roman" w:hAnsi="Times New Roman"/>
          <w:lang w:eastAsia="pt-BR"/>
        </w:rPr>
        <w:t xml:space="preserve">Brasília-DF, </w:t>
      </w:r>
      <w:r w:rsidR="00F21DED">
        <w:rPr>
          <w:rFonts w:ascii="Times New Roman" w:hAnsi="Times New Roman"/>
          <w:lang w:eastAsia="pt-BR"/>
        </w:rPr>
        <w:t xml:space="preserve">14 </w:t>
      </w:r>
      <w:r w:rsidR="00B05285"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="00B05285" w:rsidRPr="008153E5">
        <w:rPr>
          <w:rFonts w:ascii="Times New Roman" w:hAnsi="Times New Roman"/>
          <w:lang w:eastAsia="pt-BR"/>
        </w:rPr>
        <w:t xml:space="preserve"> de 2020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2A200A" w:rsidRPr="008153E5" w:rsidRDefault="002A200A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</w:p>
    <w:p w:rsidR="00C55BC4" w:rsidRDefault="00C55BC4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F21DE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F21DE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br/>
      </w:r>
      <w:r>
        <w:rPr>
          <w:rFonts w:ascii="Times New Roman" w:eastAsia="Cambria" w:hAnsi="Times New Roman"/>
          <w:b/>
          <w:bCs/>
          <w:smallCaps/>
          <w:kern w:val="32"/>
        </w:rPr>
        <w:lastRenderedPageBreak/>
        <w:br/>
      </w:r>
      <w:r w:rsidR="000C66DD">
        <w:rPr>
          <w:rFonts w:ascii="Times New Roman" w:eastAsia="Cambria" w:hAnsi="Times New Roman"/>
          <w:b/>
          <w:bCs/>
          <w:smallCaps/>
          <w:kern w:val="32"/>
        </w:rPr>
        <w:t>ANEXO</w:t>
      </w: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Pr="002A02D8" w:rsidRDefault="000C66DD" w:rsidP="000C66DD">
      <w:pPr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1- A suspensão dos prazos processuais nos processos punitivos do CAU/BR e dos CAU/UF em razão de determinações legais e regulamentares durante o período de pandemia de Covid-19   implica que a contagem dos prazos para as partes somente ocorrerá após término do período de suspensão em razão da pandemia de Covid-19.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 xml:space="preserve">1.1 O CAU/BR e os CAU/UF deverão dar continuidade regularmente aos processos com prazo suspenso na forma do </w:t>
      </w:r>
      <w:r w:rsidRPr="002A02D8">
        <w:rPr>
          <w:rFonts w:ascii="Times New Roman" w:hAnsi="Times New Roman"/>
          <w:i/>
          <w:iCs/>
          <w:color w:val="000000" w:themeColor="text1"/>
        </w:rPr>
        <w:t>caput</w:t>
      </w:r>
      <w:r w:rsidRPr="002A02D8">
        <w:rPr>
          <w:rFonts w:ascii="Times New Roman" w:hAnsi="Times New Roman"/>
          <w:color w:val="000000" w:themeColor="text1"/>
        </w:rPr>
        <w:t>, praticando os atos que não tenham repercussão para as partes, a exemplo de decisões sobre peticionamentos nos autos, despachos para providências internas, despachos meramente ordinatórios, elaboração de relatório e voto e decisões que dispensem sustentação oral.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 xml:space="preserve">1.2 A suspensão dos prazos processuais na forma do </w:t>
      </w:r>
      <w:r w:rsidRPr="002A02D8">
        <w:rPr>
          <w:rFonts w:ascii="Times New Roman" w:hAnsi="Times New Roman"/>
          <w:i/>
          <w:iCs/>
          <w:color w:val="000000" w:themeColor="text1"/>
        </w:rPr>
        <w:t>caput</w:t>
      </w:r>
      <w:r w:rsidRPr="002A02D8">
        <w:rPr>
          <w:rFonts w:ascii="Times New Roman" w:hAnsi="Times New Roman"/>
          <w:color w:val="000000" w:themeColor="text1"/>
        </w:rPr>
        <w:t xml:space="preserve"> não impede a intimação das partes para ter ciência de decisões e para praticar atos processuais, informando-se, neste caso, de forma expressa e clara, que o prazo para a providência determinada no ato intimatório começará a correr somente após o término do período de suspensão em razão da pandemia de Covid-19, na forma das determinações legais e regulamentares.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1.3 Caso as partes se manifestem espontaneamente por meio do envio de peças e petições digitalizadas antes de os respectivos prazos processuais começarem a correr, não haverá qualquer nulidade ou irregularidade, devendo o CAU/BR e os CAU/UF impulsionarem regulamente os processos na forma da regulamentação vigente.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 xml:space="preserve">1.4 Durante o período de suspensão dos prazos processuais na forma do </w:t>
      </w:r>
      <w:r w:rsidRPr="002A02D8">
        <w:rPr>
          <w:rFonts w:ascii="Times New Roman" w:hAnsi="Times New Roman"/>
          <w:i/>
          <w:iCs/>
          <w:color w:val="000000" w:themeColor="text1"/>
        </w:rPr>
        <w:t>caput</w:t>
      </w:r>
      <w:r w:rsidRPr="002A02D8">
        <w:rPr>
          <w:rFonts w:ascii="Times New Roman" w:hAnsi="Times New Roman"/>
          <w:color w:val="000000" w:themeColor="text1"/>
        </w:rPr>
        <w:t>, fica vedada a prática de atos processuais que exijam a presença física das partes nas dependências do CAU/BR e dos CAU/UF ou em outro lugar que implique descumprimento de regra de distanciamento social.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1.5 Caso seja do interesse e haja consenso das partes, o CAU/BR e os CAU/UF poderão designar audiências de conciliação ou de instrução e julgamento mediante o emprego de recursos tecnológicos disponíveis de transmissão de sons, imagens e dados em tempo real (videoconferência).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1.6 Para realização de audiências virtuais na forma do item 1.5, o CAU/BR e os CAU/UF deverão dar condições de acesso às informações constantes dos autos por meio do envio de cópias digitalizadas para o endereço de correio eletrônico da parte solicitante.</w:t>
      </w:r>
    </w:p>
    <w:p w:rsidR="000C66DD" w:rsidRPr="002A02D8" w:rsidRDefault="000C66DD" w:rsidP="000C66DD">
      <w:pPr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2- A suspensão dos prazos processuais na forma do item 1 tem efeitos apenas para as partes e seus procuradores, de maneira que todos os demais sujeitos do processo, conselheiros e empregados públicos, continuam obrigados às atividades que lhes competem na condução processual.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 xml:space="preserve">2.1 Durante o período de vigência de teletrabalho no CAU/BR ou nos CAU/UF, os atos processuais necessários à continuidade dos procedimentos internos </w:t>
      </w:r>
      <w:r w:rsidRPr="002A02D8">
        <w:rPr>
          <w:rFonts w:ascii="Times New Roman" w:eastAsia="Times New Roman" w:hAnsi="Times New Roman"/>
          <w:color w:val="000000" w:themeColor="text1"/>
          <w:lang w:eastAsia="pt-BR"/>
        </w:rPr>
        <w:t xml:space="preserve">com o objetivo de regularizar a condução dos processos ou de promover seu andamento deverão ser praticados preferencialmente </w:t>
      </w:r>
      <w:r w:rsidRPr="002A02D8">
        <w:rPr>
          <w:rFonts w:ascii="Times New Roman" w:hAnsi="Times New Roman"/>
          <w:color w:val="000000" w:themeColor="text1"/>
        </w:rPr>
        <w:t>mediante o emprego de recursos tecnológicos que permitam atividades remotas em colaboração.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lastRenderedPageBreak/>
        <w:t xml:space="preserve">2.2 Em razão da essencialidade da atividade fiscalizatória a cargo dos CAU/UF, as ações de fiscalização, sempre que necessárias, poderão ser exercidas externamente com presença </w:t>
      </w:r>
      <w:r w:rsidRPr="002A02D8">
        <w:rPr>
          <w:rFonts w:ascii="Times New Roman" w:hAnsi="Times New Roman"/>
          <w:i/>
          <w:iCs/>
          <w:color w:val="000000" w:themeColor="text1"/>
        </w:rPr>
        <w:t>in loco</w:t>
      </w:r>
      <w:r w:rsidRPr="002A02D8">
        <w:rPr>
          <w:rFonts w:ascii="Times New Roman" w:hAnsi="Times New Roman"/>
          <w:color w:val="000000" w:themeColor="text1"/>
        </w:rPr>
        <w:t>, devendo cada CAU/UF garantir aos seus agentes de fiscalização as condições mínimas de segurança relacionadas à proteção contra a Covid-19, de acordo com a Deliberação nº 014/2020-CEP-CAU/BR, de 2 de abril de 2020.</w:t>
      </w:r>
    </w:p>
    <w:p w:rsidR="000C66DD" w:rsidRPr="002A02D8" w:rsidRDefault="000C66DD" w:rsidP="000C66DD">
      <w:pPr>
        <w:ind w:start="35.40pt"/>
        <w:jc w:val="both"/>
        <w:rPr>
          <w:rFonts w:ascii="Times New Roman" w:hAnsi="Times New Roman"/>
          <w:color w:val="000000" w:themeColor="text1"/>
        </w:rPr>
      </w:pPr>
      <w:r w:rsidRPr="002A02D8">
        <w:rPr>
          <w:rFonts w:ascii="Times New Roman" w:hAnsi="Times New Roman"/>
          <w:color w:val="000000" w:themeColor="text1"/>
        </w:rPr>
        <w:t>2.3 No exercício das atividades fiscalizatórias dos CAU/UF, as notificações expedidas e as autuações lavradas deverão informar, de forma expressa e clara, que o prazo para a regularização, pagamento de multa ou apresentação de defesa começará a correr somente após o término do período de suspensão em razão da pandemia de Covid-19, na forma das determinações legais e regulamentares.</w:t>
      </w:r>
    </w:p>
    <w:p w:rsidR="0060139F" w:rsidRDefault="0060139F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0C66DD" w:rsidRDefault="000C66D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0C66DD" w:rsidRDefault="000C66D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0C66DD" w:rsidRDefault="000C66D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F21DED" w:rsidRDefault="00F21DE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0C66DD" w:rsidRDefault="000C66DD" w:rsidP="00B05285">
      <w:pPr>
        <w:spacing w:after="6pt"/>
        <w:jc w:val="center"/>
        <w:rPr>
          <w:rFonts w:ascii="Times New Roman" w:hAnsi="Times New Roman"/>
          <w:b/>
          <w:lang w:eastAsia="pt-BR"/>
        </w:rPr>
      </w:pPr>
    </w:p>
    <w:p w:rsidR="000C66DD" w:rsidRPr="008153E5" w:rsidRDefault="000C66DD" w:rsidP="000C66DD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 w:rsidRPr="008153E5">
        <w:rPr>
          <w:rFonts w:ascii="Times New Roman" w:eastAsia="Cambria" w:hAnsi="Times New Roman"/>
          <w:b/>
          <w:bCs/>
          <w:smallCaps/>
          <w:kern w:val="32"/>
        </w:rPr>
        <w:lastRenderedPageBreak/>
        <w:t>1</w:t>
      </w:r>
      <w:r>
        <w:rPr>
          <w:rFonts w:ascii="Times New Roman" w:eastAsia="Cambria" w:hAnsi="Times New Roman"/>
          <w:b/>
          <w:bCs/>
          <w:smallCaps/>
          <w:kern w:val="32"/>
        </w:rPr>
        <w:t>1</w:t>
      </w:r>
      <w:r w:rsidRPr="008153E5">
        <w:rPr>
          <w:rFonts w:ascii="Times New Roman" w:eastAsia="Cambria" w:hAnsi="Times New Roman"/>
          <w:b/>
          <w:bCs/>
          <w:smallCaps/>
          <w:kern w:val="32"/>
        </w:rPr>
        <w:t>ª REUNIÃO EXTRAORDINÁRI</w:t>
      </w:r>
      <w:r w:rsidR="00F21DED">
        <w:rPr>
          <w:rFonts w:ascii="Times New Roman" w:eastAsia="Cambria" w:hAnsi="Times New Roman"/>
          <w:b/>
          <w:bCs/>
          <w:smallCaps/>
          <w:kern w:val="32"/>
        </w:rPr>
        <w:t>A DO</w:t>
      </w:r>
      <w:r w:rsidRPr="008153E5">
        <w:rPr>
          <w:rFonts w:ascii="Times New Roman" w:eastAsia="Cambria" w:hAnsi="Times New Roman"/>
          <w:b/>
          <w:bCs/>
          <w:smallCaps/>
          <w:kern w:val="32"/>
        </w:rPr>
        <w:t xml:space="preserve"> CD-CAU/BR</w:t>
      </w:r>
    </w:p>
    <w:p w:rsidR="000C66DD" w:rsidRPr="008153E5" w:rsidRDefault="000C66DD" w:rsidP="000C66DD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82791F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82791F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82791F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82791F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82791F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0C429E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11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EXTRAORDINÁR</w:t>
            </w:r>
            <w:r w:rsidR="00F21DED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IA DO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0C429E" w:rsidRPr="000C429E">
              <w:rPr>
                <w:rFonts w:ascii="Times New Roman" w:hAnsi="Times New Roman"/>
                <w:lang w:eastAsia="pt-BR"/>
              </w:rPr>
              <w:t>14</w:t>
            </w:r>
            <w:r w:rsidR="009A4851" w:rsidRPr="008153E5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F21DED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C513E9">
              <w:rPr>
                <w:rFonts w:ascii="Times New Roman" w:hAnsi="Times New Roman"/>
                <w:color w:val="000000"/>
                <w:lang w:eastAsia="pt-BR"/>
              </w:rPr>
              <w:t>O</w:t>
            </w:r>
            <w:r w:rsidR="00C513E9" w:rsidRPr="00C513E9">
              <w:rPr>
                <w:rFonts w:ascii="Times New Roman" w:hAnsi="Times New Roman"/>
                <w:color w:val="000000"/>
                <w:lang w:eastAsia="pt-BR"/>
              </w:rPr>
              <w:t>rientação pela suspensão dos prazos processuais nos CAU/UF e CAU/BR</w:t>
            </w:r>
            <w:r w:rsidR="00C513E9">
              <w:rPr>
                <w:rFonts w:ascii="Times New Roman" w:hAnsi="Times New Roman"/>
                <w:color w:val="000000"/>
                <w:lang w:eastAsia="pt-BR"/>
              </w:rPr>
              <w:t>.</w:t>
            </w:r>
          </w:p>
          <w:p w:rsidR="00B05285" w:rsidRPr="008153E5" w:rsidRDefault="00B05285" w:rsidP="0082791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="00F21DED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2791F">
              <w:rPr>
                <w:rFonts w:ascii="Times New Roman" w:hAnsi="Times New Roman"/>
                <w:lang w:eastAsia="pt-BR"/>
              </w:rPr>
              <w:t>(</w:t>
            </w:r>
            <w:r w:rsidR="000C429E" w:rsidRPr="0082791F">
              <w:rPr>
                <w:rFonts w:ascii="Times New Roman" w:hAnsi="Times New Roman"/>
                <w:lang w:eastAsia="pt-BR"/>
              </w:rPr>
              <w:t>05</w:t>
            </w:r>
            <w:r w:rsidRPr="0082791F">
              <w:rPr>
                <w:rFonts w:ascii="Times New Roman" w:hAnsi="Times New Roman"/>
                <w:lang w:eastAsia="pt-BR"/>
              </w:rPr>
              <w:t>)</w:t>
            </w:r>
            <w:r w:rsidR="00F21DED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82791F">
              <w:rPr>
                <w:rFonts w:ascii="Times New Roman" w:hAnsi="Times New Roman"/>
                <w:lang w:eastAsia="pt-BR"/>
              </w:rPr>
              <w:t>05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F21DED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9"/>
      <w:footerReference w:type="default" r:id="rId10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5E68" w:rsidRDefault="00675E68" w:rsidP="00792E15">
      <w:pPr>
        <w:spacing w:after="0pt" w:line="12pt" w:lineRule="auto"/>
      </w:pPr>
      <w:r>
        <w:separator/>
      </w:r>
    </w:p>
  </w:endnote>
  <w:endnote w:type="continuationSeparator" w:id="0">
    <w:p w:rsidR="00675E68" w:rsidRDefault="00675E68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988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AA6988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7B2100">
      <w:rPr>
        <w:rStyle w:val="Nmerodepgina"/>
        <w:rFonts w:ascii="Times New Roman" w:hAnsi="Times New Roman"/>
        <w:noProof/>
        <w:color w:val="296D7A"/>
        <w:sz w:val="18"/>
      </w:rPr>
      <w:t>1</w:t>
    </w:r>
    <w:r w:rsidR="00AA6988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0C429E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82791F">
      <w:rPr>
        <w:rStyle w:val="Nmerodepgina"/>
        <w:rFonts w:ascii="Times New Roman" w:hAnsi="Times New Roman"/>
        <w:color w:val="296D7A"/>
        <w:sz w:val="18"/>
      </w:rPr>
      <w:t>12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5E68" w:rsidRDefault="00675E68" w:rsidP="00792E15">
      <w:pPr>
        <w:spacing w:after="0pt" w:line="12pt" w:lineRule="auto"/>
      </w:pPr>
      <w:r>
        <w:separator/>
      </w:r>
    </w:p>
  </w:footnote>
  <w:footnote w:type="continuationSeparator" w:id="0">
    <w:p w:rsidR="00675E68" w:rsidRDefault="00675E68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300E00B0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2BA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182E"/>
    <w:rsid w:val="000C429E"/>
    <w:rsid w:val="000C6696"/>
    <w:rsid w:val="000C66DD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A200A"/>
    <w:rsid w:val="002C6D4C"/>
    <w:rsid w:val="002F2265"/>
    <w:rsid w:val="002F58B0"/>
    <w:rsid w:val="0030617D"/>
    <w:rsid w:val="003240A3"/>
    <w:rsid w:val="00324AE2"/>
    <w:rsid w:val="00326C88"/>
    <w:rsid w:val="003454F4"/>
    <w:rsid w:val="00371A21"/>
    <w:rsid w:val="00382C21"/>
    <w:rsid w:val="0038407C"/>
    <w:rsid w:val="00395364"/>
    <w:rsid w:val="003C76F7"/>
    <w:rsid w:val="003D0CBD"/>
    <w:rsid w:val="003E6624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139F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5E68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A0E4F"/>
    <w:rsid w:val="007B2100"/>
    <w:rsid w:val="007B798D"/>
    <w:rsid w:val="007C546F"/>
    <w:rsid w:val="007C5AE9"/>
    <w:rsid w:val="007D0BEC"/>
    <w:rsid w:val="007F1349"/>
    <w:rsid w:val="007F766A"/>
    <w:rsid w:val="00801566"/>
    <w:rsid w:val="00801951"/>
    <w:rsid w:val="008153E5"/>
    <w:rsid w:val="00825062"/>
    <w:rsid w:val="00826058"/>
    <w:rsid w:val="0082791F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6988"/>
    <w:rsid w:val="00AA759D"/>
    <w:rsid w:val="00AA799D"/>
    <w:rsid w:val="00AB7B97"/>
    <w:rsid w:val="00AC25E2"/>
    <w:rsid w:val="00AC40E1"/>
    <w:rsid w:val="00AD1BD9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3734A"/>
    <w:rsid w:val="00C513E9"/>
    <w:rsid w:val="00C55BC4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CE360B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21DED"/>
    <w:rsid w:val="00F365A1"/>
    <w:rsid w:val="00F43C6D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49238B-A242-4350-82CD-6FCCDB7298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character" w:customStyle="1" w:styleId="fontstyle01">
    <w:name w:val="fontstyle01"/>
    <w:basedOn w:val="Fontepargpadro"/>
    <w:rsid w:val="003061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827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5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legislacao.planalto.gov.br/legisla/legislacao.nsf/Viw_Identificacao/mpv%20928-2020?OpenDocument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4D5481E-2CDD-4C34-95B0-58F6DFD852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2020-05-04T17:49:00Z</cp:lastPrinted>
  <dcterms:created xsi:type="dcterms:W3CDTF">2020-05-12T17:57:00Z</dcterms:created>
  <dcterms:modified xsi:type="dcterms:W3CDTF">2020-05-12T17:57:00Z</dcterms:modified>
</cp:coreProperties>
</file>