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4E" w:rsidRPr="002F184E" w:rsidRDefault="002F184E" w:rsidP="002F184E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  <w:bookmarkStart w:id="0" w:name="_GoBack"/>
      <w:bookmarkEnd w:id="0"/>
      <w:r w:rsidRPr="002F184E">
        <w:rPr>
          <w:rFonts w:ascii="Times New Roman" w:hAnsi="Times New Roman"/>
          <w:bCs/>
          <w:u w:val="single"/>
        </w:rPr>
        <w:t>ANEXO</w:t>
      </w:r>
      <w:r w:rsidR="00AE102D">
        <w:rPr>
          <w:rFonts w:ascii="Times New Roman" w:hAnsi="Times New Roman"/>
          <w:bCs/>
          <w:u w:val="single"/>
        </w:rPr>
        <w:t xml:space="preserve"> 1</w:t>
      </w:r>
    </w:p>
    <w:p w:rsidR="002F184E" w:rsidRDefault="002F184E" w:rsidP="002F184E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F184E" w:rsidRPr="00F205B4" w:rsidRDefault="002F184E" w:rsidP="002F184E">
      <w:pPr>
        <w:spacing w:after="0" w:line="240" w:lineRule="auto"/>
        <w:jc w:val="center"/>
        <w:rPr>
          <w:rFonts w:ascii="Times New Roman" w:hAnsi="Times New Roman"/>
          <w:bCs/>
        </w:rPr>
      </w:pPr>
      <w:r w:rsidRPr="00F205B4">
        <w:rPr>
          <w:rFonts w:ascii="Times New Roman" w:hAnsi="Times New Roman"/>
          <w:bCs/>
        </w:rPr>
        <w:t xml:space="preserve">RESOLUÇÃO Nº </w:t>
      </w:r>
      <w:r w:rsidRPr="00214E1D">
        <w:rPr>
          <w:rFonts w:ascii="Times New Roman" w:hAnsi="Times New Roman"/>
          <w:bCs/>
          <w:color w:val="auto"/>
          <w:highlight w:val="yellow"/>
        </w:rPr>
        <w:t>XXX, DE XX DE XXXXX</w:t>
      </w:r>
      <w:r w:rsidRPr="00F205B4">
        <w:rPr>
          <w:rFonts w:ascii="Times New Roman" w:hAnsi="Times New Roman"/>
          <w:bCs/>
        </w:rPr>
        <w:t xml:space="preserve"> DE 2021.</w:t>
      </w:r>
    </w:p>
    <w:p w:rsidR="002F184E" w:rsidRPr="00F205B4" w:rsidRDefault="002F184E" w:rsidP="002F184E">
      <w:pPr>
        <w:spacing w:after="0" w:line="240" w:lineRule="auto"/>
        <w:jc w:val="center"/>
        <w:rPr>
          <w:rFonts w:ascii="Times New Roman" w:hAnsi="Times New Roman"/>
          <w:b w:val="0"/>
          <w:bCs/>
        </w:rPr>
      </w:pPr>
    </w:p>
    <w:p w:rsidR="002F184E" w:rsidRPr="00F205B4" w:rsidRDefault="002F184E" w:rsidP="002F184E">
      <w:pPr>
        <w:spacing w:after="0" w:line="240" w:lineRule="auto"/>
        <w:ind w:left="4820"/>
        <w:jc w:val="both"/>
        <w:rPr>
          <w:rFonts w:ascii="Times New Roman" w:hAnsi="Times New Roman"/>
          <w:b w:val="0"/>
        </w:rPr>
      </w:pPr>
      <w:r w:rsidRPr="00F205B4">
        <w:rPr>
          <w:rFonts w:ascii="Times New Roman" w:hAnsi="Times New Roman"/>
          <w:b w:val="0"/>
        </w:rPr>
        <w:t xml:space="preserve">Altera a Resolução CAU/BR nº 51, de 12 de julho de 2013, que dispõe sobre as áreas de atuação privativas dos arquitetos e urbanistas e as áreas de atuação compartilhadas com outras profissões regulamentadas, e dá outras providências. </w:t>
      </w:r>
    </w:p>
    <w:p w:rsidR="002F184E" w:rsidRPr="00F205B4" w:rsidRDefault="002F184E" w:rsidP="002F184E">
      <w:pPr>
        <w:spacing w:after="0" w:line="240" w:lineRule="auto"/>
        <w:jc w:val="both"/>
        <w:rPr>
          <w:rFonts w:ascii="Times New Roman" w:hAnsi="Times New Roman"/>
          <w:b w:val="0"/>
        </w:rPr>
      </w:pPr>
    </w:p>
    <w:p w:rsidR="002F184E" w:rsidRPr="00F205B4" w:rsidRDefault="002F184E" w:rsidP="002F184E">
      <w:pPr>
        <w:spacing w:after="0" w:line="240" w:lineRule="auto"/>
        <w:jc w:val="both"/>
        <w:rPr>
          <w:rFonts w:ascii="Times New Roman" w:hAnsi="Times New Roman"/>
          <w:b w:val="0"/>
        </w:rPr>
      </w:pPr>
      <w:r w:rsidRPr="00F205B4">
        <w:rPr>
          <w:rFonts w:ascii="Times New Roman" w:hAnsi="Times New Roman"/>
          <w:b w:val="0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</w:t>
      </w:r>
      <w:r w:rsidRPr="00F205B4">
        <w:rPr>
          <w:rFonts w:ascii="Times New Roman" w:hAnsi="Times New Roman"/>
          <w:b w:val="0"/>
          <w:i/>
        </w:rPr>
        <w:t xml:space="preserve"> </w:t>
      </w:r>
      <w:r w:rsidRPr="00F205B4">
        <w:rPr>
          <w:rFonts w:ascii="Times New Roman" w:hAnsi="Times New Roman"/>
          <w:b w:val="0"/>
        </w:rPr>
        <w:t xml:space="preserve">n° </w:t>
      </w:r>
      <w:r w:rsidRPr="00214E1D">
        <w:rPr>
          <w:rFonts w:ascii="Times New Roman" w:hAnsi="Times New Roman"/>
          <w:b w:val="0"/>
          <w:color w:val="auto"/>
          <w:highlight w:val="yellow"/>
        </w:rPr>
        <w:t>xxx-xx/2021, de xx de xxxxx</w:t>
      </w:r>
      <w:r w:rsidRPr="00F30AC2">
        <w:rPr>
          <w:rFonts w:ascii="Times New Roman" w:hAnsi="Times New Roman"/>
          <w:b w:val="0"/>
          <w:color w:val="0070C0"/>
        </w:rPr>
        <w:t xml:space="preserve"> </w:t>
      </w:r>
      <w:r w:rsidRPr="00F205B4">
        <w:rPr>
          <w:rFonts w:ascii="Times New Roman" w:hAnsi="Times New Roman"/>
          <w:b w:val="0"/>
        </w:rPr>
        <w:t>de 2021,</w:t>
      </w:r>
      <w:r w:rsidRPr="00F205B4">
        <w:rPr>
          <w:rFonts w:ascii="Times New Roman" w:hAnsi="Times New Roman"/>
          <w:b w:val="0"/>
          <w:color w:val="FF0000"/>
        </w:rPr>
        <w:t xml:space="preserve"> </w:t>
      </w:r>
      <w:r w:rsidRPr="00F205B4">
        <w:rPr>
          <w:rFonts w:ascii="Times New Roman" w:hAnsi="Times New Roman"/>
          <w:b w:val="0"/>
        </w:rPr>
        <w:t>adotada nesta data pelo Presidente do CAU/BR;</w:t>
      </w:r>
    </w:p>
    <w:p w:rsidR="002F184E" w:rsidRPr="00F205B4" w:rsidRDefault="002F184E" w:rsidP="002F1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</w:rPr>
      </w:pPr>
    </w:p>
    <w:p w:rsidR="002F184E" w:rsidRPr="00F205B4" w:rsidRDefault="002F184E" w:rsidP="002F1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</w:rPr>
      </w:pPr>
      <w:r w:rsidRPr="00F205B4">
        <w:rPr>
          <w:rFonts w:ascii="Times New Roman" w:hAnsi="Times New Roman"/>
          <w:b w:val="0"/>
        </w:rPr>
        <w:t>Considerando a Lei n° 12.378, de 31 de dezembro de 2010, que regulamenta o exercício d</w:t>
      </w:r>
      <w:r>
        <w:rPr>
          <w:rFonts w:ascii="Times New Roman" w:hAnsi="Times New Roman"/>
          <w:b w:val="0"/>
        </w:rPr>
        <w:t xml:space="preserve">a Arquitetura e Urbanismo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no Brasil, e em seu </w:t>
      </w:r>
      <w:r w:rsidRPr="00AA3768">
        <w:rPr>
          <w:rFonts w:ascii="Times New Roman" w:eastAsia="Cambria" w:hAnsi="Times New Roman" w:cs="Times New Roman"/>
          <w:b w:val="0"/>
          <w:color w:val="auto"/>
          <w:lang w:eastAsia="pt-BR"/>
        </w:rPr>
        <w:t>art. 2º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AA3768">
        <w:rPr>
          <w:rFonts w:ascii="Times New Roman" w:eastAsia="Cambria" w:hAnsi="Times New Roman" w:cs="Times New Roman"/>
          <w:b w:val="0"/>
          <w:color w:val="auto"/>
          <w:lang w:eastAsia="pt-BR"/>
        </w:rPr>
        <w:t>estabelece as atividades, atribuições e campos de atuação profissional do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s</w:t>
      </w:r>
      <w:r w:rsidRPr="00AA376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arquiteto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s</w:t>
      </w:r>
      <w:r w:rsidRPr="00AA376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urbanista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s</w:t>
      </w:r>
      <w:r w:rsidRPr="00AA3768">
        <w:rPr>
          <w:rFonts w:ascii="Times New Roman" w:eastAsia="Cambria" w:hAnsi="Times New Roman" w:cs="Times New Roman"/>
          <w:b w:val="0"/>
          <w:color w:val="auto"/>
          <w:lang w:eastAsia="pt-BR"/>
        </w:rPr>
        <w:t>;</w:t>
      </w:r>
    </w:p>
    <w:p w:rsidR="002F184E" w:rsidRDefault="002F184E" w:rsidP="002F1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</w:rPr>
      </w:pPr>
    </w:p>
    <w:p w:rsidR="002F184E" w:rsidRDefault="002F184E" w:rsidP="002F184E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3B5503">
        <w:rPr>
          <w:rFonts w:ascii="Times New Roman" w:eastAsia="Cambria" w:hAnsi="Times New Roman" w:cs="Times New Roman"/>
          <w:b w:val="0"/>
          <w:color w:val="auto"/>
          <w:lang w:eastAsia="pt-BR"/>
        </w:rPr>
        <w:t>Considerando a Del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iberação nº 007</w:t>
      </w:r>
      <w:r w:rsidRPr="009A4344">
        <w:rPr>
          <w:rFonts w:ascii="Times New Roman" w:eastAsia="Cambria" w:hAnsi="Times New Roman" w:cs="Times New Roman"/>
          <w:b w:val="0"/>
          <w:color w:val="auto"/>
          <w:lang w:eastAsia="pt-BR"/>
        </w:rPr>
        <w:t>-2021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do Conselho Diretor do </w:t>
      </w:r>
      <w:r w:rsidRPr="009A4344">
        <w:rPr>
          <w:rFonts w:ascii="Times New Roman" w:eastAsia="Cambria" w:hAnsi="Times New Roman" w:cs="Times New Roman"/>
          <w:b w:val="0"/>
          <w:color w:val="auto"/>
          <w:lang w:eastAsia="pt-BR"/>
        </w:rPr>
        <w:t>CAU/BR,</w:t>
      </w:r>
      <w:r w:rsidRPr="003B550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que aprova o enca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minhamento de solicitação à CEP-CAU/BR</w:t>
      </w:r>
      <w:r w:rsidRPr="00E425A3">
        <w:rPr>
          <w:rFonts w:ascii="Times New Roman" w:eastAsia="Cambria" w:hAnsi="Times New Roman" w:cs="Times New Roman"/>
          <w:b w:val="0"/>
          <w:color w:val="auto"/>
          <w:lang w:eastAsia="pt-BR"/>
        </w:rPr>
        <w:t>, em caráter de urgência,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para elaboração da proposição de alteração</w:t>
      </w:r>
      <w:r w:rsidRPr="003B550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da Resolução CAU/BR nº 51, </w:t>
      </w:r>
      <w:r w:rsidRPr="009A4344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de 12 de julho de 2013, a fim de atender o acordo para o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Projeto de Lei </w:t>
      </w:r>
      <w:r w:rsidRPr="009A4344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PL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nº </w:t>
      </w:r>
      <w:r w:rsidRPr="009A4344">
        <w:rPr>
          <w:rFonts w:ascii="Times New Roman" w:eastAsia="Cambria" w:hAnsi="Times New Roman" w:cs="Times New Roman"/>
          <w:b w:val="0"/>
          <w:color w:val="auto"/>
          <w:lang w:eastAsia="pt-BR"/>
        </w:rPr>
        <w:t>9818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/2018</w:t>
      </w:r>
      <w:r w:rsidRPr="009A4344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firmado na Comissão de Trabalho, Administração e Serviço Público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(CTASP) </w:t>
      </w:r>
      <w:r w:rsidRPr="009A4344">
        <w:rPr>
          <w:rFonts w:ascii="Times New Roman" w:eastAsia="Cambria" w:hAnsi="Times New Roman" w:cs="Times New Roman"/>
          <w:b w:val="0"/>
          <w:color w:val="auto"/>
          <w:lang w:eastAsia="pt-BR"/>
        </w:rPr>
        <w:t>da Câmara dos Deputados;</w:t>
      </w:r>
    </w:p>
    <w:p w:rsidR="002F184E" w:rsidRDefault="002F184E" w:rsidP="002F1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</w:rPr>
      </w:pPr>
    </w:p>
    <w:p w:rsidR="002F184E" w:rsidRPr="00F205B4" w:rsidRDefault="002F184E" w:rsidP="002F1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</w:rPr>
      </w:pPr>
      <w:r w:rsidRPr="00F205B4">
        <w:rPr>
          <w:rFonts w:ascii="Times New Roman" w:hAnsi="Times New Roman"/>
          <w:b w:val="0"/>
        </w:rPr>
        <w:t>Considerando o Projeto de Lei (PL) nº 9818, de 2018, de autoria do deputado Ricardo Izar, que propõe alterar “</w:t>
      </w:r>
      <w:r w:rsidRPr="00F205B4">
        <w:rPr>
          <w:rFonts w:ascii="Times New Roman" w:hAnsi="Times New Roman"/>
          <w:b w:val="0"/>
          <w:i/>
        </w:rPr>
        <w:t>o art. 3º da Lei nº 12.378, de 31 de dezembro de 2010, para dispor sobre as atribuições dos arquitetos e dos urbanistas</w:t>
      </w:r>
      <w:r w:rsidRPr="00F205B4">
        <w:rPr>
          <w:rFonts w:ascii="Times New Roman" w:hAnsi="Times New Roman"/>
          <w:b w:val="0"/>
        </w:rPr>
        <w:t>”, de acordo com a ementa aprovada pela Comissão de Trabalho, de Administração e Serviço Público (CTASP) da Câmara de Deputados, conforme parecer da deputada relatora Flávia Moraes;</w:t>
      </w:r>
    </w:p>
    <w:p w:rsidR="002F184E" w:rsidRPr="00F205B4" w:rsidRDefault="002F184E" w:rsidP="002F1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</w:rPr>
      </w:pPr>
    </w:p>
    <w:p w:rsidR="002F184E" w:rsidRPr="00F205B4" w:rsidRDefault="002F184E" w:rsidP="002F18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05B4">
        <w:rPr>
          <w:rFonts w:ascii="Times New Roman" w:hAnsi="Times New Roman"/>
          <w:sz w:val="22"/>
          <w:szCs w:val="22"/>
        </w:rPr>
        <w:t xml:space="preserve">Considerando o Projeto de Decreto Legislativo nº 901, de 2018, de autoria do </w:t>
      </w:r>
      <w:r w:rsidRPr="00F205B4">
        <w:rPr>
          <w:rFonts w:ascii="Times New Roman" w:hAnsi="Times New Roman" w:cs="Times New Roman"/>
          <w:sz w:val="22"/>
          <w:szCs w:val="22"/>
        </w:rPr>
        <w:t xml:space="preserve">Deputado </w:t>
      </w:r>
      <w:r w:rsidRPr="00F205B4">
        <w:rPr>
          <w:rFonts w:ascii="Times New Roman" w:hAnsi="Times New Roman"/>
          <w:sz w:val="22"/>
          <w:szCs w:val="22"/>
        </w:rPr>
        <w:t>Ricardo Izar, que propõe sustar “</w:t>
      </w:r>
      <w:r w:rsidRPr="00F205B4">
        <w:rPr>
          <w:rFonts w:ascii="Times New Roman" w:hAnsi="Times New Roman"/>
          <w:i/>
          <w:sz w:val="22"/>
          <w:szCs w:val="22"/>
        </w:rPr>
        <w:t>os efeitos da Resolução nº 51, de 12 de julho de 2013, editada pelo Conselho Arquitetura e Urbanismo – CAU</w:t>
      </w:r>
      <w:r w:rsidRPr="00F205B4">
        <w:rPr>
          <w:rFonts w:ascii="Times New Roman" w:hAnsi="Times New Roman"/>
          <w:sz w:val="22"/>
          <w:szCs w:val="22"/>
        </w:rPr>
        <w:t>”;</w:t>
      </w:r>
    </w:p>
    <w:p w:rsidR="002F184E" w:rsidRDefault="002F184E" w:rsidP="002F1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</w:rPr>
      </w:pPr>
    </w:p>
    <w:p w:rsidR="002F184E" w:rsidRPr="00F30AC2" w:rsidRDefault="002F184E" w:rsidP="002F1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F30AC2">
        <w:rPr>
          <w:rFonts w:ascii="Times New Roman" w:eastAsia="Cambria" w:hAnsi="Times New Roman" w:cs="Times New Roman"/>
          <w:b w:val="0"/>
          <w:color w:val="auto"/>
          <w:lang w:eastAsia="pt-BR"/>
        </w:rPr>
        <w:t>Considerando a Deliberação Plenária DPEBR nº 0006-03/2019, que aprova a proposta de texto de acordo entre a Comissão Temporária para Harmonização do Exercício Profissional (CTHEP) e o Conselho Federal de Engenharia e Agronomia (CONFEA) para apresentação de emenda substitutiva ao PL 9818/2018 na CTASP – Comissão de Trabalho, Administração e Serviço Público da Câmara dos Deputados;</w:t>
      </w:r>
    </w:p>
    <w:p w:rsidR="002F184E" w:rsidRPr="00F205B4" w:rsidRDefault="002F184E" w:rsidP="002F1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</w:rPr>
      </w:pPr>
    </w:p>
    <w:p w:rsidR="002F184E" w:rsidRDefault="002F184E" w:rsidP="002F1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Considerando a Decisão Plenária do CONFEA nº PL-2228/2019, de 13 de dezembro de 2019, referente à </w:t>
      </w:r>
      <w:r w:rsidRPr="00436FC0">
        <w:rPr>
          <w:rFonts w:ascii="Times New Roman" w:hAnsi="Times New Roman"/>
          <w:b w:val="0"/>
        </w:rPr>
        <w:t>Sessão Plenária Ordinária 1.515, que aprovou a proposta de alteração do Projeto de Lei PL-9818/2018, que altera a Lei nº 12.378/2010, a ser encami</w:t>
      </w:r>
      <w:r>
        <w:rPr>
          <w:rFonts w:ascii="Times New Roman" w:hAnsi="Times New Roman"/>
          <w:b w:val="0"/>
        </w:rPr>
        <w:t>nhada à CTASP da Câmara Federal;</w:t>
      </w:r>
    </w:p>
    <w:p w:rsidR="002F184E" w:rsidRDefault="002F184E" w:rsidP="002F1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</w:rPr>
      </w:pPr>
    </w:p>
    <w:p w:rsidR="002F184E" w:rsidRDefault="002F184E" w:rsidP="002F184E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F205B4">
        <w:rPr>
          <w:rFonts w:ascii="Times New Roman" w:hAnsi="Times New Roman"/>
          <w:sz w:val="22"/>
          <w:szCs w:val="22"/>
        </w:rPr>
        <w:t>Considerando a Deliberação Ple</w:t>
      </w:r>
      <w:r>
        <w:rPr>
          <w:rFonts w:ascii="Times New Roman" w:hAnsi="Times New Roman"/>
          <w:sz w:val="22"/>
          <w:szCs w:val="22"/>
        </w:rPr>
        <w:t>nária DPOBR nº 0094-01/2019,</w:t>
      </w:r>
      <w:r w:rsidRPr="00F205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que suspende a vigência </w:t>
      </w:r>
      <w:r w:rsidRPr="00F205B4">
        <w:rPr>
          <w:rFonts w:ascii="Times New Roman" w:hAnsi="Times New Roman"/>
          <w:sz w:val="22"/>
          <w:szCs w:val="22"/>
        </w:rPr>
        <w:t>de disposições da Resolução CAU/BR n° 51</w:t>
      </w:r>
      <w:r>
        <w:rPr>
          <w:rFonts w:ascii="Times New Roman" w:hAnsi="Times New Roman"/>
          <w:sz w:val="22"/>
          <w:szCs w:val="22"/>
        </w:rPr>
        <w:t>/</w:t>
      </w:r>
      <w:r w:rsidRPr="00F205B4">
        <w:rPr>
          <w:rFonts w:ascii="Times New Roman" w:hAnsi="Times New Roman"/>
          <w:sz w:val="22"/>
          <w:szCs w:val="22"/>
        </w:rPr>
        <w:t>2013 até 30 de novembro de 2021;</w:t>
      </w:r>
      <w:r>
        <w:rPr>
          <w:rFonts w:ascii="Times New Roman" w:hAnsi="Times New Roman"/>
          <w:sz w:val="22"/>
          <w:szCs w:val="22"/>
        </w:rPr>
        <w:t xml:space="preserve"> e</w:t>
      </w:r>
    </w:p>
    <w:p w:rsidR="002F184E" w:rsidRDefault="002F184E" w:rsidP="002F184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F184E" w:rsidRDefault="002F184E" w:rsidP="002F184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Cambria" w:hAnsi="Times New Roman" w:cs="Times New Roman"/>
          <w:b w:val="0"/>
          <w:color w:val="auto"/>
        </w:rPr>
        <w:t xml:space="preserve">Considerando que os tramites e procedimentos previstos na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Resolução CAU/BR nº 104, de 26 de junho de 2015, para aprovação de resolução pelo Plenário do CAU/BR, foram realizados e cumpridos.</w:t>
      </w:r>
    </w:p>
    <w:p w:rsidR="002F184E" w:rsidRDefault="002F184E" w:rsidP="002F184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F184E" w:rsidRPr="00F205B4" w:rsidRDefault="002F184E" w:rsidP="002F184E">
      <w:pPr>
        <w:spacing w:after="0" w:line="240" w:lineRule="auto"/>
        <w:jc w:val="both"/>
        <w:rPr>
          <w:rFonts w:ascii="Times New Roman" w:hAnsi="Times New Roman"/>
          <w:bCs/>
        </w:rPr>
      </w:pPr>
      <w:r w:rsidRPr="00F205B4">
        <w:rPr>
          <w:rFonts w:ascii="Times New Roman" w:hAnsi="Times New Roman"/>
          <w:bCs/>
        </w:rPr>
        <w:t>RESOLVE:</w:t>
      </w:r>
    </w:p>
    <w:p w:rsidR="002F184E" w:rsidRPr="00F205B4" w:rsidRDefault="002F184E" w:rsidP="002F184E">
      <w:pPr>
        <w:spacing w:after="0" w:line="240" w:lineRule="auto"/>
        <w:jc w:val="both"/>
        <w:rPr>
          <w:rFonts w:ascii="Times New Roman" w:hAnsi="Times New Roman"/>
        </w:rPr>
      </w:pPr>
    </w:p>
    <w:p w:rsidR="002F184E" w:rsidRPr="00F205B4" w:rsidRDefault="002F184E" w:rsidP="002F184E">
      <w:pPr>
        <w:spacing w:after="0" w:line="240" w:lineRule="auto"/>
        <w:jc w:val="both"/>
        <w:rPr>
          <w:rFonts w:ascii="Times New Roman" w:hAnsi="Times New Roman"/>
          <w:b w:val="0"/>
        </w:rPr>
      </w:pPr>
      <w:r w:rsidRPr="00F205B4">
        <w:rPr>
          <w:rFonts w:ascii="Times New Roman" w:hAnsi="Times New Roman"/>
          <w:b w:val="0"/>
        </w:rPr>
        <w:t>Art. 1º A Resolução CAU/BR n° 51, de 12 de julho de 2013, publicada no Diário Oficial da União, Edição n° 136, Seção 1, de 17 de julho de 2013, que dispõe sobre as áreas de atuação privativas dos arquitetos e urbanistas e as áreas de atuação compartilhadas com outras profissões regulamentadas, e dá outras providências, passa a vigorar com as seguintes alterações:</w:t>
      </w:r>
    </w:p>
    <w:p w:rsidR="002F184E" w:rsidRPr="00F205B4" w:rsidRDefault="002F184E" w:rsidP="002F184E">
      <w:pPr>
        <w:pStyle w:val="Corpodetexto"/>
        <w:ind w:right="112"/>
        <w:jc w:val="both"/>
      </w:pPr>
    </w:p>
    <w:p w:rsidR="002F184E" w:rsidRDefault="002F184E" w:rsidP="002F184E">
      <w:pPr>
        <w:pStyle w:val="Corpodetexto"/>
        <w:ind w:left="851" w:right="425"/>
        <w:jc w:val="both"/>
      </w:pPr>
      <w:r w:rsidRPr="00672E06">
        <w:rPr>
          <w:u w:val="single"/>
        </w:rPr>
        <w:t>Ementa</w:t>
      </w:r>
      <w:r w:rsidRPr="00672E06">
        <w:t xml:space="preserve">: </w:t>
      </w:r>
    </w:p>
    <w:p w:rsidR="002F184E" w:rsidRPr="00672E06" w:rsidRDefault="002F184E" w:rsidP="002F184E">
      <w:pPr>
        <w:pStyle w:val="Corpodetexto"/>
        <w:ind w:left="851" w:right="425"/>
        <w:jc w:val="both"/>
      </w:pPr>
      <w:r w:rsidRPr="00672E06">
        <w:t xml:space="preserve">“Dispõe sobre as áreas de atuação dos arquitetos e urbanistas para o exercício profissional da Arquitetura e Urbanismo no Brasil, </w:t>
      </w:r>
      <w:r w:rsidR="002B172B" w:rsidRPr="002B172B">
        <w:rPr>
          <w:bCs/>
        </w:rPr>
        <w:t>definidas a partir das competências e habilidades adquiridas na formação profissional,</w:t>
      </w:r>
      <w:r w:rsidR="002B172B" w:rsidRPr="002672F6">
        <w:rPr>
          <w:b/>
          <w:bCs/>
          <w:color w:val="0033CC"/>
        </w:rPr>
        <w:t xml:space="preserve"> </w:t>
      </w:r>
      <w:r w:rsidRPr="00672E06">
        <w:t>e dá outras providências.”</w:t>
      </w:r>
    </w:p>
    <w:p w:rsidR="002F184E" w:rsidRPr="00672E06" w:rsidRDefault="002F184E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 w:val="0"/>
          <w:color w:val="FF0000"/>
        </w:rPr>
      </w:pPr>
    </w:p>
    <w:p w:rsidR="002F184E" w:rsidRPr="00672E06" w:rsidRDefault="002F184E" w:rsidP="002F184E">
      <w:pPr>
        <w:pStyle w:val="Corpodetexto"/>
        <w:ind w:left="851" w:right="425"/>
        <w:jc w:val="both"/>
      </w:pPr>
      <w:r w:rsidRPr="00672E06">
        <w:t>“Art. 2º - Ficam especificadas como de competência e habilidade do arquiteto e urbanista, adquiridas na formação do profissional, as seguintes áreas de atuação:</w:t>
      </w:r>
    </w:p>
    <w:p w:rsidR="002F184E" w:rsidRPr="00672E06" w:rsidRDefault="002F184E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 w:val="0"/>
          <w:color w:val="000000"/>
          <w:lang w:eastAsia="pt-BR"/>
        </w:rPr>
      </w:pPr>
      <w:r w:rsidRPr="00672E06">
        <w:rPr>
          <w:rFonts w:ascii="Times New Roman" w:hAnsi="Times New Roman"/>
          <w:b w:val="0"/>
          <w:color w:val="000000"/>
          <w:lang w:eastAsia="pt-BR"/>
        </w:rPr>
        <w:t>I - ...................................................................................................................</w:t>
      </w:r>
    </w:p>
    <w:p w:rsidR="002F184E" w:rsidRPr="00672E06" w:rsidRDefault="002F184E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 w:val="0"/>
          <w:color w:val="000000"/>
          <w:lang w:eastAsia="pt-BR"/>
        </w:rPr>
      </w:pPr>
      <w:r w:rsidRPr="00672E06">
        <w:rPr>
          <w:rFonts w:ascii="Times New Roman" w:hAnsi="Times New Roman"/>
          <w:b w:val="0"/>
          <w:color w:val="000000"/>
          <w:lang w:eastAsia="pt-BR"/>
        </w:rPr>
        <w:t>II - ..................................................................................................................</w:t>
      </w:r>
    </w:p>
    <w:p w:rsidR="002F184E" w:rsidRPr="00672E06" w:rsidRDefault="002F184E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 w:val="0"/>
          <w:color w:val="000000"/>
          <w:lang w:eastAsia="pt-BR"/>
        </w:rPr>
      </w:pPr>
      <w:r w:rsidRPr="00672E06">
        <w:rPr>
          <w:rFonts w:ascii="Times New Roman" w:hAnsi="Times New Roman"/>
          <w:b w:val="0"/>
          <w:color w:val="000000"/>
          <w:lang w:eastAsia="pt-BR"/>
        </w:rPr>
        <w:t>III - .................................................................................................................</w:t>
      </w:r>
    </w:p>
    <w:p w:rsidR="002F184E" w:rsidRPr="00672E06" w:rsidRDefault="002F184E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 w:val="0"/>
          <w:color w:val="000000"/>
          <w:lang w:eastAsia="pt-BR"/>
        </w:rPr>
      </w:pPr>
      <w:r w:rsidRPr="00672E06">
        <w:rPr>
          <w:rFonts w:ascii="Times New Roman" w:hAnsi="Times New Roman"/>
          <w:b w:val="0"/>
          <w:color w:val="000000"/>
          <w:lang w:eastAsia="pt-BR"/>
        </w:rPr>
        <w:t>IV - ................................................................................................................</w:t>
      </w:r>
    </w:p>
    <w:p w:rsidR="002F184E" w:rsidRPr="00672E06" w:rsidRDefault="002F184E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 w:val="0"/>
          <w:color w:val="000000"/>
          <w:lang w:eastAsia="pt-BR"/>
        </w:rPr>
      </w:pPr>
      <w:r w:rsidRPr="00672E06">
        <w:rPr>
          <w:rFonts w:ascii="Times New Roman" w:hAnsi="Times New Roman"/>
          <w:b w:val="0"/>
          <w:color w:val="000000"/>
          <w:lang w:eastAsia="pt-BR"/>
        </w:rPr>
        <w:t>V - .................................................................................................................</w:t>
      </w:r>
    </w:p>
    <w:p w:rsidR="002F184E" w:rsidRPr="00672E06" w:rsidRDefault="002F184E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 w:val="0"/>
          <w:color w:val="000000"/>
          <w:lang w:eastAsia="pt-BR"/>
        </w:rPr>
      </w:pPr>
      <w:r w:rsidRPr="00672E06">
        <w:rPr>
          <w:rFonts w:ascii="Times New Roman" w:hAnsi="Times New Roman"/>
          <w:b w:val="0"/>
          <w:color w:val="000000"/>
          <w:lang w:eastAsia="pt-BR"/>
        </w:rPr>
        <w:t>VI - ................................................................................................................”</w:t>
      </w:r>
    </w:p>
    <w:p w:rsidR="002F184E" w:rsidRPr="00672E06" w:rsidRDefault="002F184E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 w:val="0"/>
          <w:color w:val="000000"/>
          <w:lang w:eastAsia="pt-BR"/>
        </w:rPr>
      </w:pPr>
    </w:p>
    <w:p w:rsidR="002F184E" w:rsidRDefault="002F184E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 w:val="0"/>
          <w:lang w:eastAsia="pt-BR" w:bidi="pt-BR"/>
        </w:rPr>
      </w:pPr>
      <w:r w:rsidRPr="00672E06">
        <w:rPr>
          <w:rFonts w:ascii="Times New Roman" w:eastAsia="Calibri" w:hAnsi="Times New Roman"/>
          <w:b w:val="0"/>
          <w:lang w:eastAsia="pt-BR" w:bidi="pt-BR"/>
        </w:rPr>
        <w:t xml:space="preserve">“Art. 3º As demais áreas de atuação dos arquitetos e urbanistas para o exercício </w:t>
      </w:r>
      <w:r w:rsidR="00126FE7">
        <w:rPr>
          <w:rFonts w:ascii="Times New Roman" w:eastAsia="Calibri" w:hAnsi="Times New Roman"/>
          <w:b w:val="0"/>
          <w:lang w:eastAsia="pt-BR" w:bidi="pt-BR"/>
        </w:rPr>
        <w:t xml:space="preserve">da </w:t>
      </w:r>
      <w:r w:rsidRPr="00672E06">
        <w:rPr>
          <w:rFonts w:ascii="Times New Roman" w:eastAsia="Calibri" w:hAnsi="Times New Roman"/>
          <w:b w:val="0"/>
          <w:lang w:eastAsia="pt-BR" w:bidi="pt-BR"/>
        </w:rPr>
        <w:t>Arquitetura e Urbanismo, constantes do art. 2° da Lei n° 12.378, de 2010, constituem áreas de atuação compartilhadas com outras profissões regulamentadas.”</w:t>
      </w:r>
    </w:p>
    <w:p w:rsidR="00214E1D" w:rsidRDefault="00214E1D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 w:val="0"/>
          <w:lang w:eastAsia="pt-BR" w:bidi="pt-BR"/>
        </w:rPr>
      </w:pPr>
    </w:p>
    <w:p w:rsidR="002F184E" w:rsidRDefault="002F184E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 w:val="0"/>
          <w:u w:val="single"/>
          <w:lang w:eastAsia="pt-BR" w:bidi="pt-BR"/>
        </w:rPr>
      </w:pPr>
      <w:r w:rsidRPr="008B11C0">
        <w:rPr>
          <w:rFonts w:ascii="Times New Roman" w:eastAsia="Calibri" w:hAnsi="Times New Roman"/>
          <w:b w:val="0"/>
          <w:u w:val="single"/>
          <w:lang w:eastAsia="pt-BR" w:bidi="pt-BR"/>
        </w:rPr>
        <w:t>Glossário Anexo</w:t>
      </w:r>
      <w:r>
        <w:rPr>
          <w:rFonts w:ascii="Times New Roman" w:eastAsia="Calibri" w:hAnsi="Times New Roman"/>
          <w:b w:val="0"/>
          <w:u w:val="single"/>
          <w:lang w:eastAsia="pt-BR" w:bidi="pt-BR"/>
        </w:rPr>
        <w:t>:</w:t>
      </w:r>
    </w:p>
    <w:p w:rsidR="002F184E" w:rsidRPr="00F205B4" w:rsidRDefault="002F184E" w:rsidP="002F18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 w:val="0"/>
          <w:lang w:eastAsia="pt-BR" w:bidi="pt-BR"/>
        </w:rPr>
      </w:pPr>
      <w:r w:rsidRPr="00853CD4">
        <w:rPr>
          <w:rFonts w:ascii="Times New Roman" w:eastAsia="Calibri" w:hAnsi="Times New Roman"/>
          <w:b w:val="0"/>
          <w:lang w:eastAsia="pt-BR" w:bidi="pt-BR"/>
        </w:rPr>
        <w:t>“Este Anexo contém o Glossário referente às atividades e atribuições discriminadas no art. 2° da Lei n° 12.378, de 31 de dezembro de 2010, que, por meio desta Resolução são especificadas</w:t>
      </w:r>
      <w:r w:rsidRPr="003F133A">
        <w:rPr>
          <w:rFonts w:ascii="Times New Roman" w:eastAsia="Calibri" w:hAnsi="Times New Roman"/>
          <w:b w:val="0"/>
          <w:color w:val="auto"/>
          <w:lang w:eastAsia="pt-BR" w:bidi="pt-BR"/>
        </w:rPr>
        <w:t xml:space="preserve">. </w:t>
      </w:r>
      <w:r w:rsidRPr="00853CD4">
        <w:rPr>
          <w:rFonts w:ascii="Times New Roman" w:eastAsia="Calibri" w:hAnsi="Times New Roman"/>
          <w:b w:val="0"/>
          <w:lang w:eastAsia="pt-BR" w:bidi="pt-BR"/>
        </w:rPr>
        <w:t>Ainda que os verbetes aqui elencados possam ser também aplicáveis a outros contextos, para os fins desta Resolução deve prevalecer entendimento ou aplicação do que dispõe este Glossário</w:t>
      </w:r>
      <w:r w:rsidR="00214E1D" w:rsidRPr="00214E1D">
        <w:rPr>
          <w:rFonts w:ascii="Times New Roman" w:eastAsia="Calibri" w:hAnsi="Times New Roman" w:cs="Times New Roman"/>
          <w:b w:val="0"/>
          <w:color w:val="0033CC"/>
          <w:lang w:eastAsia="pt-BR" w:bidi="pt-BR"/>
        </w:rPr>
        <w:t xml:space="preserve"> </w:t>
      </w:r>
      <w:r w:rsidR="00214E1D" w:rsidRPr="00214E1D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e, de forma complementar, poderá ser consultado o Glossário Anexo da Resolução CAU/BR nº 21, de 2012.”</w:t>
      </w:r>
    </w:p>
    <w:p w:rsidR="002F184E" w:rsidRDefault="002F184E" w:rsidP="002F184E">
      <w:pPr>
        <w:pStyle w:val="Corpodetexto"/>
        <w:ind w:left="851" w:right="112"/>
        <w:jc w:val="both"/>
      </w:pPr>
    </w:p>
    <w:p w:rsidR="002F184E" w:rsidRPr="005F3DF9" w:rsidRDefault="002F184E" w:rsidP="002F184E">
      <w:pPr>
        <w:spacing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F3DF9">
        <w:rPr>
          <w:rFonts w:ascii="Times New Roman" w:hAnsi="Times New Roman" w:cs="Times New Roman"/>
          <w:b w:val="0"/>
          <w:color w:val="auto"/>
        </w:rPr>
        <w:t>Art. 2º Revoga os efeitos de suspensão de vigência de disposições da Resolução CAU/BR nº 51, de 12 de julho de 2013, estabelecidos pela DPOBR nº 094-01/2019 do CAU/BR.</w:t>
      </w:r>
    </w:p>
    <w:p w:rsidR="002F184E" w:rsidRPr="00ED2692" w:rsidRDefault="002F184E" w:rsidP="002F184E">
      <w:pPr>
        <w:pStyle w:val="Corpodetexto"/>
        <w:ind w:left="851" w:right="112"/>
        <w:jc w:val="both"/>
        <w:rPr>
          <w:color w:val="FF0000"/>
        </w:rPr>
      </w:pPr>
    </w:p>
    <w:p w:rsidR="002F184E" w:rsidRPr="00ED2692" w:rsidRDefault="002F184E" w:rsidP="002F184E">
      <w:pPr>
        <w:spacing w:after="0" w:line="240" w:lineRule="auto"/>
        <w:jc w:val="both"/>
        <w:rPr>
          <w:rFonts w:ascii="Times New Roman" w:hAnsi="Times New Roman"/>
          <w:b w:val="0"/>
          <w:color w:val="auto"/>
        </w:rPr>
      </w:pPr>
      <w:r w:rsidRPr="00ED2692">
        <w:rPr>
          <w:rFonts w:ascii="Times New Roman" w:hAnsi="Times New Roman"/>
          <w:b w:val="0"/>
          <w:color w:val="auto"/>
        </w:rPr>
        <w:t xml:space="preserve">Art. 3º. Esta Resolução entra em vigor na data de sua publicação. </w:t>
      </w:r>
    </w:p>
    <w:p w:rsidR="002F184E" w:rsidRDefault="002F184E" w:rsidP="002F184E">
      <w:pPr>
        <w:tabs>
          <w:tab w:val="left" w:pos="3894"/>
        </w:tabs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2F184E" w:rsidRPr="00F205B4" w:rsidRDefault="002F184E" w:rsidP="002F184E">
      <w:pPr>
        <w:spacing w:after="0" w:line="240" w:lineRule="auto"/>
        <w:jc w:val="center"/>
        <w:rPr>
          <w:rFonts w:ascii="Times New Roman" w:eastAsia="Times New Roman" w:hAnsi="Times New Roman"/>
          <w:b w:val="0"/>
          <w:lang w:eastAsia="pt-BR"/>
        </w:rPr>
      </w:pPr>
      <w:r w:rsidRPr="00F205B4">
        <w:rPr>
          <w:rFonts w:ascii="Times New Roman" w:hAnsi="Times New Roman"/>
          <w:b w:val="0"/>
        </w:rPr>
        <w:t xml:space="preserve">Brasília-DF, </w:t>
      </w:r>
      <w:r w:rsidRPr="00214E1D">
        <w:rPr>
          <w:rFonts w:ascii="Times New Roman" w:hAnsi="Times New Roman"/>
          <w:b w:val="0"/>
          <w:color w:val="auto"/>
          <w:highlight w:val="yellow"/>
        </w:rPr>
        <w:t>xx</w:t>
      </w:r>
      <w:r w:rsidRPr="00214E1D">
        <w:rPr>
          <w:rFonts w:ascii="Times New Roman" w:eastAsia="Times New Roman" w:hAnsi="Times New Roman"/>
          <w:b w:val="0"/>
          <w:color w:val="auto"/>
          <w:highlight w:val="yellow"/>
          <w:lang w:eastAsia="pt-BR"/>
        </w:rPr>
        <w:t xml:space="preserve"> de xxxxxxx</w:t>
      </w:r>
      <w:r w:rsidRPr="001B6B07">
        <w:rPr>
          <w:rFonts w:ascii="Times New Roman" w:eastAsia="Times New Roman" w:hAnsi="Times New Roman"/>
          <w:b w:val="0"/>
          <w:color w:val="0070C0"/>
          <w:lang w:eastAsia="pt-BR"/>
        </w:rPr>
        <w:t xml:space="preserve"> </w:t>
      </w:r>
      <w:r w:rsidRPr="00F205B4">
        <w:rPr>
          <w:rFonts w:ascii="Times New Roman" w:hAnsi="Times New Roman"/>
          <w:b w:val="0"/>
        </w:rPr>
        <w:t>de 2021.</w:t>
      </w:r>
    </w:p>
    <w:p w:rsidR="002F184E" w:rsidRPr="00164317" w:rsidRDefault="002F184E" w:rsidP="002F184E">
      <w:pPr>
        <w:jc w:val="both"/>
        <w:rPr>
          <w:rFonts w:ascii="Times New Roman" w:eastAsia="Times New Roman" w:hAnsi="Times New Roman"/>
          <w:lang w:eastAsia="pt-BR"/>
        </w:rPr>
      </w:pPr>
    </w:p>
    <w:p w:rsidR="002F184E" w:rsidRPr="00F205B4" w:rsidRDefault="002F184E" w:rsidP="002F184E">
      <w:pPr>
        <w:spacing w:after="0"/>
        <w:jc w:val="center"/>
        <w:rPr>
          <w:rFonts w:ascii="Times New Roman" w:hAnsi="Times New Roman"/>
        </w:rPr>
      </w:pPr>
      <w:r w:rsidRPr="00F205B4">
        <w:rPr>
          <w:rFonts w:ascii="Times New Roman" w:hAnsi="Times New Roman"/>
        </w:rPr>
        <w:t>Nádia Somekh</w:t>
      </w:r>
    </w:p>
    <w:p w:rsidR="002F184E" w:rsidRDefault="002F184E" w:rsidP="002F184E">
      <w:pPr>
        <w:jc w:val="center"/>
        <w:rPr>
          <w:rFonts w:ascii="Times New Roman" w:hAnsi="Times New Roman"/>
          <w:b w:val="0"/>
        </w:rPr>
      </w:pPr>
      <w:r w:rsidRPr="00F205B4">
        <w:rPr>
          <w:rFonts w:ascii="Times New Roman" w:hAnsi="Times New Roman"/>
          <w:b w:val="0"/>
        </w:rPr>
        <w:t>Presidente do CAU/BR</w:t>
      </w:r>
    </w:p>
    <w:p w:rsidR="00B94BD4" w:rsidRDefault="00B94BD4" w:rsidP="002F184E">
      <w:pPr>
        <w:jc w:val="center"/>
        <w:rPr>
          <w:rFonts w:ascii="Times New Roman" w:hAnsi="Times New Roman"/>
          <w:b w:val="0"/>
        </w:rPr>
      </w:pPr>
    </w:p>
    <w:p w:rsidR="00B94BD4" w:rsidRDefault="00B94BD4" w:rsidP="002F184E">
      <w:pPr>
        <w:jc w:val="center"/>
        <w:rPr>
          <w:rFonts w:ascii="Times New Roman" w:hAnsi="Times New Roman"/>
          <w:b w:val="0"/>
        </w:rPr>
      </w:pPr>
    </w:p>
    <w:p w:rsidR="00B94BD4" w:rsidRDefault="00B94BD4" w:rsidP="002F184E">
      <w:pPr>
        <w:jc w:val="center"/>
        <w:rPr>
          <w:rFonts w:ascii="Times New Roman" w:hAnsi="Times New Roman"/>
          <w:b w:val="0"/>
        </w:rPr>
      </w:pPr>
    </w:p>
    <w:p w:rsidR="00B94BD4" w:rsidRDefault="00B94BD4" w:rsidP="008765D2">
      <w:pPr>
        <w:rPr>
          <w:rFonts w:ascii="Times New Roman" w:hAnsi="Times New Roman"/>
          <w:b w:val="0"/>
        </w:rPr>
      </w:pPr>
    </w:p>
    <w:p w:rsidR="00AE102D" w:rsidRDefault="00AE102D" w:rsidP="00AE102D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  <w:r w:rsidRPr="002F184E">
        <w:rPr>
          <w:rFonts w:ascii="Times New Roman" w:hAnsi="Times New Roman"/>
          <w:bCs/>
          <w:u w:val="single"/>
        </w:rPr>
        <w:t>ANEXO</w:t>
      </w:r>
      <w:r>
        <w:rPr>
          <w:rFonts w:ascii="Times New Roman" w:hAnsi="Times New Roman"/>
          <w:bCs/>
          <w:u w:val="single"/>
        </w:rPr>
        <w:t xml:space="preserve"> 2</w:t>
      </w:r>
    </w:p>
    <w:p w:rsidR="00214E1D" w:rsidRPr="002F184E" w:rsidRDefault="00214E1D" w:rsidP="00AE102D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</w:p>
    <w:p w:rsidR="00B94BD4" w:rsidRDefault="00B94BD4" w:rsidP="00B94BD4">
      <w:pPr>
        <w:spacing w:after="0" w:line="240" w:lineRule="auto"/>
        <w:jc w:val="center"/>
        <w:rPr>
          <w:rFonts w:ascii="Times New Roman" w:hAnsi="Times New Roman" w:cs="Times New Roman"/>
          <w:b w:val="0"/>
        </w:rPr>
      </w:pPr>
      <w:r w:rsidRPr="00571A8A">
        <w:rPr>
          <w:rFonts w:ascii="Times New Roman" w:hAnsi="Times New Roman" w:cs="Times New Roman"/>
        </w:rPr>
        <w:lastRenderedPageBreak/>
        <w:t>QUADRO COMPARATIVO</w:t>
      </w:r>
    </w:p>
    <w:p w:rsidR="00B94BD4" w:rsidRDefault="00CE0350" w:rsidP="00AE102D">
      <w:pPr>
        <w:spacing w:after="0" w:line="240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(os textos na cor </w:t>
      </w:r>
      <w:r w:rsidRPr="00CE0350">
        <w:rPr>
          <w:rFonts w:ascii="Times New Roman" w:hAnsi="Times New Roman" w:cs="Times New Roman"/>
          <w:b w:val="0"/>
          <w:color w:val="FF0000"/>
        </w:rPr>
        <w:t>vermelha</w:t>
      </w:r>
      <w:r>
        <w:rPr>
          <w:rFonts w:ascii="Times New Roman" w:hAnsi="Times New Roman" w:cs="Times New Roman"/>
          <w:b w:val="0"/>
        </w:rPr>
        <w:t xml:space="preserve"> representam o que será excluído e na cor </w:t>
      </w:r>
      <w:r w:rsidRPr="00633DB7">
        <w:rPr>
          <w:rFonts w:ascii="Times New Roman" w:hAnsi="Times New Roman" w:cs="Times New Roman"/>
          <w:b w:val="0"/>
          <w:color w:val="0033CC"/>
        </w:rPr>
        <w:t xml:space="preserve">azul </w:t>
      </w:r>
      <w:r>
        <w:rPr>
          <w:rFonts w:ascii="Times New Roman" w:hAnsi="Times New Roman" w:cs="Times New Roman"/>
          <w:b w:val="0"/>
        </w:rPr>
        <w:t>o que será inserido)</w:t>
      </w:r>
    </w:p>
    <w:p w:rsidR="00214E1D" w:rsidRPr="00AE102D" w:rsidRDefault="00214E1D" w:rsidP="00AE102D">
      <w:pPr>
        <w:spacing w:after="0" w:line="240" w:lineRule="auto"/>
        <w:jc w:val="center"/>
        <w:rPr>
          <w:rFonts w:ascii="Times New Roman" w:hAnsi="Times New Roman" w:cs="Times New Roman"/>
          <w:b w:val="0"/>
        </w:rPr>
      </w:pPr>
    </w:p>
    <w:tbl>
      <w:tblPr>
        <w:tblStyle w:val="Tabelacomgrade"/>
        <w:tblpPr w:leftFromText="141" w:rightFromText="141" w:vertAnchor="text" w:tblpX="-1168" w:tblpY="1"/>
        <w:tblOverlap w:val="never"/>
        <w:tblW w:w="11024" w:type="dxa"/>
        <w:tblLook w:val="04A0" w:firstRow="1" w:lastRow="0" w:firstColumn="1" w:lastColumn="0" w:noHBand="0" w:noVBand="1"/>
      </w:tblPr>
      <w:tblGrid>
        <w:gridCol w:w="5637"/>
        <w:gridCol w:w="5387"/>
      </w:tblGrid>
      <w:tr w:rsidR="00B94BD4" w:rsidRPr="00571A8A" w:rsidTr="00B94BD4">
        <w:tc>
          <w:tcPr>
            <w:tcW w:w="5637" w:type="dxa"/>
            <w:shd w:val="clear" w:color="auto" w:fill="auto"/>
          </w:tcPr>
          <w:p w:rsidR="00B94BD4" w:rsidRPr="00571A8A" w:rsidRDefault="00B94BD4" w:rsidP="00B94BD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71A8A">
              <w:rPr>
                <w:rFonts w:ascii="Times New Roman" w:hAnsi="Times New Roman" w:cs="Times New Roman"/>
              </w:rPr>
              <w:t>RESOLUÇÃO 51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571A8A">
              <w:rPr>
                <w:rFonts w:ascii="Times New Roman" w:hAnsi="Times New Roman" w:cs="Times New Roman"/>
              </w:rPr>
              <w:t xml:space="preserve"> de 12/7/2013</w:t>
            </w:r>
          </w:p>
        </w:tc>
        <w:tc>
          <w:tcPr>
            <w:tcW w:w="5387" w:type="dxa"/>
            <w:shd w:val="clear" w:color="auto" w:fill="FFFF99"/>
          </w:tcPr>
          <w:p w:rsidR="00B94BD4" w:rsidRPr="00B94BD4" w:rsidRDefault="00B94BD4" w:rsidP="00B94BD4">
            <w:pPr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B94BD4">
              <w:rPr>
                <w:rFonts w:ascii="Times New Roman" w:hAnsi="Times New Roman" w:cs="Times New Roman"/>
                <w:color w:val="0033CC"/>
              </w:rPr>
              <w:t>ANTEPROJETO PROPOSTO, de 16/8/2021</w:t>
            </w:r>
          </w:p>
        </w:tc>
      </w:tr>
      <w:tr w:rsidR="00B94BD4" w:rsidRPr="00571A8A" w:rsidTr="00B94BD4">
        <w:tc>
          <w:tcPr>
            <w:tcW w:w="5637" w:type="dxa"/>
            <w:shd w:val="clear" w:color="auto" w:fill="auto"/>
          </w:tcPr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387" w:type="dxa"/>
            <w:shd w:val="clear" w:color="auto" w:fill="FFFF99"/>
          </w:tcPr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</w:t>
            </w:r>
            <w:r w:rsidRPr="00B94BD4">
              <w:rPr>
                <w:rFonts w:ascii="Times New Roman" w:hAnsi="Times New Roman" w:cs="Times New Roman"/>
                <w:b w:val="0"/>
              </w:rPr>
              <w:t>ltera a Resolução CAU/BR nº 51, de 12 de julho de 2013, que dispõe sobre as áreas de atuação privativas dos arquitetos e urbanistas e as áreas de atuação compartilhadas com outras profissões regulamentadas, e dá outras providências.</w:t>
            </w:r>
          </w:p>
        </w:tc>
      </w:tr>
      <w:tr w:rsidR="00B94BD4" w:rsidRPr="00571A8A" w:rsidTr="00B94BD4">
        <w:tc>
          <w:tcPr>
            <w:tcW w:w="5637" w:type="dxa"/>
            <w:shd w:val="clear" w:color="auto" w:fill="auto"/>
          </w:tcPr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387" w:type="dxa"/>
            <w:shd w:val="clear" w:color="auto" w:fill="FFFF99"/>
          </w:tcPr>
          <w:p w:rsidR="00B94BD4" w:rsidRPr="00B94BD4" w:rsidRDefault="00B94BD4" w:rsidP="00B94BD4">
            <w:pPr>
              <w:jc w:val="both"/>
              <w:rPr>
                <w:rFonts w:ascii="Times New Roman" w:hAnsi="Times New Roman" w:cs="Times New Roman"/>
                <w:b w:val="0"/>
                <w:color w:val="0033CC"/>
                <w:u w:val="single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 xml:space="preserve">Art. 1º A Resolução CAU/BR n° 51, de 12 de julho de 2013, publicada no Diário Oficial da União, Edição n° 136, Seção 1, de 17 de julho de 2013, que dispõe sobre as áreas de atuação privativas dos arquitetos e urbanistas e as áreas de atuação compartilhadas com outras profissões regulamentadas, e dá outras providências, </w:t>
            </w:r>
            <w:r w:rsidRPr="00B94BD4">
              <w:rPr>
                <w:rFonts w:ascii="Times New Roman" w:hAnsi="Times New Roman" w:cs="Times New Roman"/>
                <w:b w:val="0"/>
                <w:color w:val="0033CC"/>
                <w:u w:val="single"/>
              </w:rPr>
              <w:t>passa a vigorar com as seguintes alterações:</w:t>
            </w:r>
          </w:p>
        </w:tc>
      </w:tr>
      <w:tr w:rsidR="00B94BD4" w:rsidRPr="00571A8A" w:rsidTr="00B94BD4">
        <w:tc>
          <w:tcPr>
            <w:tcW w:w="5637" w:type="dxa"/>
            <w:shd w:val="clear" w:color="auto" w:fill="auto"/>
          </w:tcPr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 xml:space="preserve">EMENTA </w:t>
            </w:r>
            <w:r w:rsidRPr="00B94BD4">
              <w:rPr>
                <w:rFonts w:ascii="Times New Roman" w:hAnsi="Times New Roman" w:cs="Times New Roman"/>
                <w:b w:val="0"/>
                <w:color w:val="FF0000"/>
              </w:rPr>
              <w:t>Atual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Dispõe sobre as áreas de atuação</w:t>
            </w:r>
            <w:r w:rsidRPr="00B94BD4">
              <w:rPr>
                <w:rFonts w:ascii="Times New Roman" w:hAnsi="Times New Roman" w:cs="Times New Roman"/>
                <w:b w:val="0"/>
                <w:strike/>
              </w:rPr>
              <w:t xml:space="preserve">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privativas</w:t>
            </w:r>
            <w:r w:rsidRPr="00B94BD4">
              <w:rPr>
                <w:rFonts w:ascii="Times New Roman" w:hAnsi="Times New Roman" w:cs="Times New Roman"/>
                <w:b w:val="0"/>
              </w:rPr>
              <w:t xml:space="preserve"> dos arquitetos e urbanistas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e as áreas de atuação compartilhadas com outras profissões regulamentadas,</w:t>
            </w:r>
            <w:r w:rsidRPr="00B94BD4">
              <w:rPr>
                <w:rFonts w:ascii="Times New Roman" w:hAnsi="Times New Roman" w:cs="Times New Roman"/>
                <w:b w:val="0"/>
              </w:rPr>
              <w:t xml:space="preserve"> e dá outras providências.</w:t>
            </w:r>
          </w:p>
        </w:tc>
        <w:tc>
          <w:tcPr>
            <w:tcW w:w="5387" w:type="dxa"/>
            <w:shd w:val="clear" w:color="auto" w:fill="FFFF99"/>
          </w:tcPr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  <w:color w:val="0033CC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EMENTA</w:t>
            </w:r>
            <w:r w:rsidRPr="00B94BD4">
              <w:rPr>
                <w:rFonts w:ascii="Times New Roman" w:hAnsi="Times New Roman" w:cs="Times New Roman"/>
                <w:b w:val="0"/>
                <w:color w:val="0033CC"/>
              </w:rPr>
              <w:t xml:space="preserve"> proposta </w:t>
            </w:r>
          </w:p>
          <w:p w:rsidR="00B94BD4" w:rsidRPr="00B94BD4" w:rsidRDefault="00B94BD4" w:rsidP="002672F6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 xml:space="preserve">“Dispõe sobre as </w:t>
            </w:r>
            <w:r w:rsidRPr="002672F6">
              <w:rPr>
                <w:rFonts w:ascii="Times New Roman" w:hAnsi="Times New Roman" w:cs="Times New Roman"/>
                <w:b w:val="0"/>
                <w:color w:val="auto"/>
              </w:rPr>
              <w:t>áreas de atuação</w:t>
            </w:r>
            <w:r w:rsidRPr="00B94BD4">
              <w:rPr>
                <w:rFonts w:ascii="Times New Roman" w:hAnsi="Times New Roman" w:cs="Times New Roman"/>
                <w:b w:val="0"/>
              </w:rPr>
              <w:t xml:space="preserve"> dos arquitetos e urbanistas </w:t>
            </w:r>
            <w:r w:rsidRPr="00B94BD4">
              <w:rPr>
                <w:rFonts w:ascii="Times New Roman" w:hAnsi="Times New Roman" w:cs="Times New Roman"/>
                <w:b w:val="0"/>
                <w:color w:val="0033CC"/>
              </w:rPr>
              <w:t>para o exercício profissional da Arquitetura e Urbanismo no Brasil</w:t>
            </w:r>
            <w:r w:rsidRPr="002672F6">
              <w:rPr>
                <w:rFonts w:ascii="Times New Roman" w:hAnsi="Times New Roman" w:cs="Times New Roman"/>
                <w:b w:val="0"/>
                <w:color w:val="0070C0"/>
              </w:rPr>
              <w:t>,</w:t>
            </w:r>
            <w:r w:rsidR="002672F6" w:rsidRPr="002672F6">
              <w:rPr>
                <w:rFonts w:ascii="Times New Roman" w:hAnsi="Times New Roman" w:cs="Times New Roman"/>
                <w:b w:val="0"/>
                <w:color w:val="0033CC"/>
              </w:rPr>
              <w:t xml:space="preserve"> </w:t>
            </w:r>
            <w:r w:rsidR="002672F6">
              <w:rPr>
                <w:rFonts w:ascii="Times New Roman" w:hAnsi="Times New Roman" w:cs="Times New Roman"/>
                <w:b w:val="0"/>
                <w:bCs/>
                <w:color w:val="0033CC"/>
              </w:rPr>
              <w:t>definida</w:t>
            </w:r>
            <w:r w:rsidR="002672F6" w:rsidRPr="002672F6">
              <w:rPr>
                <w:rFonts w:ascii="Times New Roman" w:hAnsi="Times New Roman" w:cs="Times New Roman"/>
                <w:b w:val="0"/>
                <w:bCs/>
                <w:color w:val="0033CC"/>
              </w:rPr>
              <w:t>s a partir das competências e habilidades adquiridas na formação profissional,</w:t>
            </w:r>
            <w:r w:rsidR="002672F6" w:rsidRPr="002672F6">
              <w:rPr>
                <w:b w:val="0"/>
                <w:bCs/>
                <w:color w:val="0033CC"/>
              </w:rPr>
              <w:t xml:space="preserve"> </w:t>
            </w:r>
            <w:r w:rsidRPr="00B94BD4">
              <w:rPr>
                <w:rFonts w:ascii="Times New Roman" w:hAnsi="Times New Roman" w:cs="Times New Roman"/>
                <w:b w:val="0"/>
              </w:rPr>
              <w:t>e dá outras providências.</w:t>
            </w:r>
          </w:p>
        </w:tc>
      </w:tr>
      <w:tr w:rsidR="00B94BD4" w:rsidRPr="00571A8A" w:rsidTr="00B94BD4">
        <w:trPr>
          <w:trHeight w:val="134"/>
        </w:trPr>
        <w:tc>
          <w:tcPr>
            <w:tcW w:w="5637" w:type="dxa"/>
            <w:shd w:val="clear" w:color="auto" w:fill="auto"/>
          </w:tcPr>
          <w:p w:rsidR="00B94BD4" w:rsidRPr="00B94BD4" w:rsidRDefault="00B94BD4" w:rsidP="00B94BD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Art. 1° Os arquitetos e urbanistas constituem categoria uniprofissional, de formação generalista, cujas atividades, atribuições e campos de atuação encontram-se discriminados no art. 2° da Lei n° 12.378, de 31 de dezembro de 2010.</w:t>
            </w:r>
          </w:p>
        </w:tc>
        <w:tc>
          <w:tcPr>
            <w:tcW w:w="5387" w:type="dxa"/>
            <w:shd w:val="clear" w:color="auto" w:fill="FFFF99"/>
          </w:tcPr>
          <w:p w:rsidR="00B94BD4" w:rsidRPr="00B94BD4" w:rsidRDefault="00B94BD4" w:rsidP="00B94BD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Art. 1° ..............</w:t>
            </w:r>
          </w:p>
        </w:tc>
      </w:tr>
      <w:tr w:rsidR="00B94BD4" w:rsidRPr="00571A8A" w:rsidTr="00B94BD4">
        <w:tc>
          <w:tcPr>
            <w:tcW w:w="5637" w:type="dxa"/>
            <w:shd w:val="clear" w:color="auto" w:fill="auto"/>
          </w:tcPr>
          <w:p w:rsidR="00B94BD4" w:rsidRPr="00B94BD4" w:rsidRDefault="00B94BD4" w:rsidP="00B94BD4">
            <w:pPr>
              <w:pStyle w:val="Corpodetexto"/>
              <w:tabs>
                <w:tab w:val="left" w:pos="9639"/>
              </w:tabs>
              <w:ind w:right="61"/>
              <w:jc w:val="both"/>
              <w:rPr>
                <w:color w:val="FF0000"/>
              </w:rPr>
            </w:pPr>
            <w:r w:rsidRPr="00B94BD4">
              <w:rPr>
                <w:color w:val="FF0000"/>
              </w:rPr>
              <w:t xml:space="preserve">Art. 2° </w:t>
            </w:r>
            <w:r w:rsidRPr="00B94BD4">
              <w:rPr>
                <w:strike/>
                <w:color w:val="FF0000"/>
              </w:rPr>
              <w:t>No âmbito dos campos de atuação relacionados nos incisos deste artigo, em conformidade com o que dispõe o art. 3° da Lei n° 12.378, de 2010, ficam especificadas como privativas dos arquitetos e urbanistas as seguintes áreas de atuação:</w:t>
            </w:r>
          </w:p>
        </w:tc>
        <w:tc>
          <w:tcPr>
            <w:tcW w:w="5387" w:type="dxa"/>
            <w:shd w:val="clear" w:color="auto" w:fill="FFFF99"/>
          </w:tcPr>
          <w:p w:rsidR="00B94BD4" w:rsidRPr="00B94BD4" w:rsidRDefault="00B94BD4" w:rsidP="00B94BD4">
            <w:pPr>
              <w:rPr>
                <w:rFonts w:ascii="Times New Roman" w:eastAsia="Cambria" w:hAnsi="Times New Roman" w:cs="Times New Roman"/>
                <w:b w:val="0"/>
                <w:color w:val="0033CC"/>
              </w:rPr>
            </w:pPr>
            <w:r w:rsidRPr="00B94BD4">
              <w:rPr>
                <w:rFonts w:ascii="Times New Roman" w:hAnsi="Times New Roman" w:cs="Times New Roman"/>
                <w:b w:val="0"/>
                <w:color w:val="0033CC"/>
                <w:lang w:val="en-US"/>
              </w:rPr>
              <w:t xml:space="preserve">“Art. 2º </w:t>
            </w:r>
            <w:r w:rsidRPr="00B94BD4">
              <w:rPr>
                <w:rFonts w:ascii="Times New Roman" w:hAnsi="Times New Roman" w:cs="Times New Roman"/>
                <w:b w:val="0"/>
                <w:color w:val="0033CC"/>
              </w:rPr>
              <w:t>Ficam especificadas como de competência e habilidade do arquiteto e urbanista, adquirida na formação profissional, as seguintes áreas de atuação:”</w:t>
            </w:r>
          </w:p>
        </w:tc>
      </w:tr>
      <w:tr w:rsidR="00B94BD4" w:rsidRPr="00571A8A" w:rsidTr="00B94BD4">
        <w:tc>
          <w:tcPr>
            <w:tcW w:w="5637" w:type="dxa"/>
            <w:shd w:val="clear" w:color="auto" w:fill="auto"/>
          </w:tcPr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I - DA ARQUITETURA E URBANISMO: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a)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projeto arquitetônico de edificação ou de reforma de edificação;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b)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projeto arquitetônico de monumento;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c)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coordenação e compatibilização de projeto arquitetônico com projetos complementares;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  <w:strike/>
                <w:color w:val="FF000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d)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relatório técnico de arquitetura referente a memorial descritivo, caderno de especificações e de encargos e avaliação pós-ocupação;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e)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desempenho de cargo ou função técnica concernente à elaboração ou análise de projeto arquitetônico;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f)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ensino de teoria, história e projeto de arquitetura em cursos de graduação;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g)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coordenação de curso de graduação em Arquitetura e Urbanismo;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h)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projeto urbanístico;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i)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projeto urbanístico para fins de regularização fundiária;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j)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projeto de parcelamento do solo mediante loteamento;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lastRenderedPageBreak/>
              <w:t>k)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projeto de sistema viário urbano;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l)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coordenação e compatibilização de projeto de urbanismo com projetos complementares;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  <w:strike/>
                <w:color w:val="FF000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m)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relatório técnico urbanístico referente a memorial descritivo e caderno de especificações e de encargos;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n)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desempenho de cargo ou função técnica concernente à elaboração ou análise de projeto urbanístico; e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  <w:strike/>
                <w:color w:val="FF000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o)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ensino de teoria, história e projeto de urbanismo em cursos de graduação;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II - DA ARQUITETURA DE INTERIORES: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a)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projeto de arquitetura de interiores;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b)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coordenação e compatibilização de projeto de arquitetura de interiores com projetos complementares;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  <w:strike/>
                <w:color w:val="FF000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c)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relatório técnico de arquitetura de interiores referente a memorial descritivo, caderno de especificações e de encargos e avaliação pós-ocupação;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d)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desempenho de cargo ou função técnica concernente à elaboração ou análise de projeto de arquitetura de interiores;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e)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ensino de projeto de arquitetura de interiores;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 xml:space="preserve">III - DA ARQUITETURA PAISAGÍSTICA: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a)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projeto de arquitetura paisagística; 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b)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projeto de recuperação paisagística; 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c)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coordenação e compatibilização de projeto de arquitetura paisagística ou de recuperação paisagística com projetos complementares; 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d)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cadastro do como construído (as built) de obra ou serviço técnico resultante de projeto de arquitetura paisagística; 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e)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desempenho de cargo ou função técnica concernente a elaboração ou análise de projeto de arquitetura paisagística; 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f)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ensino de teoria e de projeto de arquitetura paisagística; 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 xml:space="preserve">IV - DO PATRIMÔNIO HISTÓRICO CULTURAL E ARTÍSTICO: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a)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projeto e execução de intervenção no patrimônio histórico cultural e artístico, arquitetônico, urbanístico, paisagístico, monumentos, práticas de projeto e soluções tecnológicas para reutilização, reabilitação, reconstrução, preservação, conservação, restauro e valorização de edificações, conjuntos e cidades;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b)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coordenação da compatibilização de projeto de preservação do patrimônio histórico cultural e artístico com projetos complementares;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c)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direção, condução, gerenciamento, supervisão e fiscalização de obra ou serviço técnico referente à preservação do patrimônio histórico cultural e artístico;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d)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 xml:space="preserve">inventário, vistoria, perícia, avaliação, </w:t>
            </w:r>
            <w:r w:rsidRPr="00B94BD4">
              <w:rPr>
                <w:rFonts w:ascii="Times New Roman" w:hAnsi="Times New Roman" w:cs="Times New Roman"/>
                <w:b w:val="0"/>
              </w:rPr>
              <w:lastRenderedPageBreak/>
              <w:t>monitoramento, laudo e parecer técnico, auditoria e arbitragem em obra ou serviço técnico referente à preservação do patrimônio histórico cultural e artístico;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e)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desempenho de cargo ou função técnica referente à preservação do patrimônio histórico cultural e artístico;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f)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ensino de teoria, técnica e projeto de preservação do patrimônio histórico cultural e artístico;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 xml:space="preserve">V - DO PLANEJAMENTO URBANO E REGIONAL: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 xml:space="preserve">a) coordenação de equipe multidisciplinar de planejamento concernente a plano ou traçado de cidade, plano diretor, plano de requalificação urbana, plano setorial urbano, plano de intervenção local, plano de habitação de interesse social, plano de regularização fundiária e de elaboração de 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estudo de impacto de vizinhança;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 xml:space="preserve">VI - DO CONFORTO AMBIENTAL: </w:t>
            </w:r>
            <w:r w:rsidRPr="00B94BD4">
              <w:rPr>
                <w:rFonts w:ascii="Times New Roman" w:hAnsi="Times New Roman" w:cs="Times New Roman"/>
                <w:b w:val="0"/>
                <w:strike/>
                <w:color w:val="FF0000"/>
              </w:rPr>
              <w:t>(*Suspensão de Vigência...)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a)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projeto de arquitetura da iluminação do edifício e do espaço urbano;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b)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projeto de acessibilidade e ergonomia da edificação;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c)</w:t>
            </w:r>
            <w:r w:rsidRPr="00B94BD4">
              <w:rPr>
                <w:rFonts w:ascii="Times New Roman" w:hAnsi="Times New Roman" w:cs="Times New Roman"/>
                <w:b w:val="0"/>
              </w:rPr>
              <w:tab/>
              <w:t>projeto de acessibilidade e ergonomia do espaço urbano.</w:t>
            </w:r>
          </w:p>
        </w:tc>
        <w:tc>
          <w:tcPr>
            <w:tcW w:w="5387" w:type="dxa"/>
            <w:shd w:val="clear" w:color="auto" w:fill="FFFF99"/>
          </w:tcPr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lastRenderedPageBreak/>
              <w:t>I - DA ARQUITETURA E URBANISMO:</w:t>
            </w:r>
          </w:p>
          <w:p w:rsidR="00B94BD4" w:rsidRPr="00B94BD4" w:rsidRDefault="003943E7" w:rsidP="00B94BD4">
            <w:pPr>
              <w:rPr>
                <w:rFonts w:ascii="Times New Roman" w:hAnsi="Times New Roman" w:cs="Times New Roman"/>
                <w:b w:val="0"/>
                <w:strike/>
                <w:color w:val="FF0000"/>
              </w:rPr>
            </w:pPr>
            <w:r>
              <w:rPr>
                <w:rFonts w:ascii="Times New Roman" w:hAnsi="Times New Roman" w:cs="Times New Roman"/>
                <w:b w:val="0"/>
              </w:rPr>
              <w:t>......................................................................................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II - DA ARQUITETURA DE INTERIORES:</w:t>
            </w:r>
          </w:p>
          <w:p w:rsidR="00B94BD4" w:rsidRPr="00B94BD4" w:rsidRDefault="003943E7" w:rsidP="00B94BD4">
            <w:pPr>
              <w:rPr>
                <w:rFonts w:ascii="Times New Roman" w:hAnsi="Times New Roman" w:cs="Times New Roman"/>
                <w:b w:val="0"/>
                <w:strike/>
                <w:color w:val="FF0000"/>
              </w:rPr>
            </w:pPr>
            <w:r>
              <w:rPr>
                <w:rFonts w:ascii="Times New Roman" w:hAnsi="Times New Roman" w:cs="Times New Roman"/>
                <w:b w:val="0"/>
              </w:rPr>
              <w:t>......................................................................................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 xml:space="preserve">III - DA ARQUITETURA PAISAGÍSTICA: </w:t>
            </w:r>
          </w:p>
          <w:p w:rsidR="00B94BD4" w:rsidRPr="00B94BD4" w:rsidRDefault="003943E7" w:rsidP="003943E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.....................................................................................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>IV - DO PATRIMÔNIO HISTÓRICO CULTURAL E ARTÍSTICO:</w:t>
            </w:r>
          </w:p>
          <w:p w:rsidR="00B94BD4" w:rsidRPr="00B94BD4" w:rsidRDefault="003943E7" w:rsidP="00B94BD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......................................................................................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  <w:strike/>
                <w:color w:val="FF000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 xml:space="preserve">V - DO PLANEJAMENTO URBANO E REGIONAL: </w:t>
            </w:r>
          </w:p>
          <w:p w:rsidR="003943E7" w:rsidRDefault="003943E7" w:rsidP="00B94BD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..................................................................................</w:t>
            </w:r>
          </w:p>
          <w:p w:rsidR="00B94BD4" w:rsidRPr="00B94BD4" w:rsidRDefault="00B94BD4" w:rsidP="00B94BD4">
            <w:pPr>
              <w:rPr>
                <w:rFonts w:ascii="Times New Roman" w:hAnsi="Times New Roman" w:cs="Times New Roman"/>
                <w:b w:val="0"/>
                <w:strike/>
                <w:color w:val="FF0000"/>
              </w:rPr>
            </w:pPr>
            <w:r w:rsidRPr="00B94BD4">
              <w:rPr>
                <w:rFonts w:ascii="Times New Roman" w:hAnsi="Times New Roman" w:cs="Times New Roman"/>
                <w:b w:val="0"/>
              </w:rPr>
              <w:t xml:space="preserve">VI - DO CONFORTO AMBIENTAL: </w:t>
            </w:r>
          </w:p>
          <w:p w:rsidR="00B94BD4" w:rsidRPr="00B94BD4" w:rsidRDefault="003943E7" w:rsidP="00B94BD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...................................................................................</w:t>
            </w:r>
          </w:p>
        </w:tc>
      </w:tr>
      <w:tr w:rsidR="00B94BD4" w:rsidRPr="00571A8A" w:rsidTr="00B94BD4">
        <w:tc>
          <w:tcPr>
            <w:tcW w:w="5637" w:type="dxa"/>
            <w:shd w:val="clear" w:color="auto" w:fill="auto"/>
          </w:tcPr>
          <w:p w:rsidR="00B94BD4" w:rsidRPr="00B94BD4" w:rsidRDefault="00B94BD4" w:rsidP="00B94BD4">
            <w:pPr>
              <w:pStyle w:val="Corpodetexto"/>
              <w:ind w:left="100" w:right="380"/>
              <w:jc w:val="both"/>
            </w:pPr>
            <w:r w:rsidRPr="00B94BD4">
              <w:lastRenderedPageBreak/>
              <w:t xml:space="preserve">Art. 3° As demais áreas de atuação dos arquitetos e urbanistas constantes do art. 2° da Lei n° 12.378, de 2010, </w:t>
            </w:r>
            <w:r w:rsidRPr="00B94BD4">
              <w:rPr>
                <w:strike/>
                <w:color w:val="FF0000"/>
              </w:rPr>
              <w:t>que não lhes sejam privativas nos termos do art. 2° desta Resolução,</w:t>
            </w:r>
            <w:r w:rsidRPr="00B94BD4">
              <w:t xml:space="preserve"> constituem áreas de atuação compartilhadas entre os profissionais da Arquitetura e Urbanismo e os de outras profissões regulamentadas.</w:t>
            </w:r>
          </w:p>
        </w:tc>
        <w:tc>
          <w:tcPr>
            <w:tcW w:w="5387" w:type="dxa"/>
            <w:shd w:val="clear" w:color="auto" w:fill="FFFF99"/>
          </w:tcPr>
          <w:p w:rsidR="00B94BD4" w:rsidRPr="00B94BD4" w:rsidRDefault="00B94BD4" w:rsidP="00B94B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 w:val="0"/>
                <w:lang w:eastAsia="pt-BR" w:bidi="pt-BR"/>
              </w:rPr>
            </w:pPr>
            <w:r w:rsidRPr="00B94BD4">
              <w:rPr>
                <w:rFonts w:ascii="Times New Roman" w:eastAsia="Calibri" w:hAnsi="Times New Roman" w:cs="Times New Roman"/>
                <w:b w:val="0"/>
                <w:lang w:eastAsia="pt-BR" w:bidi="pt-BR"/>
              </w:rPr>
              <w:t xml:space="preserve">“Art. 3º As demais áreas de atuação dos arquitetos e urbanistas </w:t>
            </w:r>
            <w:r w:rsidRPr="00B94BD4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>para o exercício da Arquitetura e Urbanismo</w:t>
            </w:r>
            <w:r w:rsidRPr="00B94BD4">
              <w:rPr>
                <w:rFonts w:ascii="Times New Roman" w:eastAsia="Calibri" w:hAnsi="Times New Roman" w:cs="Times New Roman"/>
                <w:b w:val="0"/>
                <w:lang w:eastAsia="pt-BR" w:bidi="pt-BR"/>
              </w:rPr>
              <w:t xml:space="preserve">, constantes do art. 2° da Lei n° 12.378, de 2010, constituem áreas de atuação </w:t>
            </w:r>
            <w:r w:rsidRPr="00B94BD4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>que podem ser compartilhadas</w:t>
            </w:r>
            <w:r w:rsidRPr="00B94BD4">
              <w:rPr>
                <w:rFonts w:ascii="Times New Roman" w:eastAsia="Calibri" w:hAnsi="Times New Roman" w:cs="Times New Roman"/>
                <w:b w:val="0"/>
                <w:color w:val="FF0000"/>
                <w:lang w:eastAsia="pt-BR" w:bidi="pt-BR"/>
              </w:rPr>
              <w:t xml:space="preserve"> </w:t>
            </w:r>
            <w:r w:rsidRPr="00B94BD4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 xml:space="preserve">com outras profissões regulamentadas.” </w:t>
            </w:r>
          </w:p>
        </w:tc>
      </w:tr>
      <w:tr w:rsidR="00B94BD4" w:rsidRPr="00571A8A" w:rsidTr="00B94BD4">
        <w:tc>
          <w:tcPr>
            <w:tcW w:w="5637" w:type="dxa"/>
            <w:shd w:val="clear" w:color="auto" w:fill="auto"/>
          </w:tcPr>
          <w:p w:rsidR="00B94BD4" w:rsidRPr="00B94BD4" w:rsidRDefault="00B94BD4" w:rsidP="00B94BD4">
            <w:pPr>
              <w:pStyle w:val="Corpodetexto"/>
              <w:ind w:left="100" w:right="381"/>
              <w:jc w:val="both"/>
            </w:pPr>
            <w:r w:rsidRPr="00B94BD4">
              <w:t>Glossário Anexo</w:t>
            </w:r>
          </w:p>
          <w:p w:rsidR="00B94BD4" w:rsidRPr="00B94BD4" w:rsidRDefault="00B94BD4" w:rsidP="00B94BD4">
            <w:pPr>
              <w:pStyle w:val="Corpodetexto"/>
              <w:ind w:left="100" w:right="381"/>
              <w:jc w:val="both"/>
            </w:pPr>
            <w:r w:rsidRPr="00B94BD4">
              <w:t xml:space="preserve">Este Anexo contém o Glossário referente às atividades e atribuições discriminadas no art. 2° da Lei n° 12.378, de 31 de dezembro de 2010, que, por meio desta Resolução são especificadas, </w:t>
            </w:r>
            <w:r w:rsidRPr="00B94BD4">
              <w:rPr>
                <w:strike/>
                <w:color w:val="FF0000"/>
              </w:rPr>
              <w:t>em seu art. 2°, como áreas de atuação privativas dos arquitetos e urbanistas.</w:t>
            </w:r>
            <w:r w:rsidRPr="00B94BD4">
              <w:t xml:space="preserve"> Ainda que os verbetes aqui elencados possam ser também aplicáveis a outros contextos, para os fins desta Resolução </w:t>
            </w:r>
            <w:r w:rsidRPr="00B94BD4">
              <w:rPr>
                <w:strike/>
                <w:color w:val="FF0000"/>
              </w:rPr>
              <w:t>não</w:t>
            </w:r>
            <w:r w:rsidRPr="00B94BD4">
              <w:t xml:space="preserve"> deve prevalecer entendimento ou aplicação </w:t>
            </w:r>
            <w:r w:rsidRPr="00B94BD4">
              <w:rPr>
                <w:strike/>
                <w:color w:val="FF0000"/>
              </w:rPr>
              <w:t>distinta</w:t>
            </w:r>
            <w:r w:rsidRPr="00B94BD4">
              <w:t xml:space="preserve"> do que dispõe este Glossário.</w:t>
            </w:r>
          </w:p>
        </w:tc>
        <w:tc>
          <w:tcPr>
            <w:tcW w:w="5387" w:type="dxa"/>
            <w:shd w:val="clear" w:color="auto" w:fill="FFFF99"/>
          </w:tcPr>
          <w:p w:rsidR="00B94BD4" w:rsidRPr="00214E1D" w:rsidRDefault="00B94BD4" w:rsidP="00B94B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</w:pPr>
            <w:r w:rsidRPr="00214E1D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>GLOSSÁRIO ANEXO</w:t>
            </w:r>
          </w:p>
          <w:p w:rsidR="00B94BD4" w:rsidRDefault="00B94BD4" w:rsidP="00267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</w:pPr>
            <w:r w:rsidRPr="00B94BD4">
              <w:rPr>
                <w:rFonts w:ascii="Times New Roman" w:eastAsia="Calibri" w:hAnsi="Times New Roman" w:cs="Times New Roman"/>
                <w:b w:val="0"/>
                <w:lang w:eastAsia="pt-BR" w:bidi="pt-BR"/>
              </w:rPr>
              <w:t>“Este Anexo contém o Glossário referente às atividades e atribuições discriminadas no art. 2° da Lei n° 12.378, de 31 de dezembro de 2010, que, por meio desta Resolução são especificadas. Ainda que os verbetes aqui elencados possam ser também aplicáveis a outros contextos, para os fins desta Resolução deve prevalecer entendimento ou aplicação do que dispõe este Glossário</w:t>
            </w:r>
            <w:r w:rsidR="002672F6">
              <w:rPr>
                <w:rFonts w:ascii="Times New Roman" w:eastAsia="Calibri" w:hAnsi="Times New Roman" w:cs="Times New Roman"/>
                <w:b w:val="0"/>
                <w:lang w:eastAsia="pt-BR" w:bidi="pt-BR"/>
              </w:rPr>
              <w:t xml:space="preserve"> </w:t>
            </w:r>
            <w:r w:rsidR="002672F6" w:rsidRPr="002672F6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>e</w:t>
            </w:r>
            <w:r w:rsidR="00214E1D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>,</w:t>
            </w:r>
            <w:r w:rsidR="002672F6" w:rsidRPr="002672F6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 xml:space="preserve"> de forma complementar, pode</w:t>
            </w:r>
            <w:r w:rsidR="00214E1D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>rá</w:t>
            </w:r>
            <w:r w:rsidR="002672F6" w:rsidRPr="002672F6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 xml:space="preserve"> ser consultado </w:t>
            </w:r>
            <w:r w:rsidR="002672F6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 xml:space="preserve">o </w:t>
            </w:r>
            <w:r w:rsidRPr="00B94BD4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>Glossário Anexo da Resolução CAU/BR nº 21</w:t>
            </w:r>
            <w:r w:rsidR="00214E1D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>, de 2012</w:t>
            </w:r>
            <w:r w:rsidRPr="00B94BD4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>.”</w:t>
            </w:r>
          </w:p>
          <w:p w:rsidR="00C80C99" w:rsidRDefault="00C80C99" w:rsidP="00267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</w:pPr>
          </w:p>
          <w:p w:rsidR="00214E1D" w:rsidRPr="00B94BD4" w:rsidRDefault="00214E1D" w:rsidP="00267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</w:pPr>
          </w:p>
        </w:tc>
      </w:tr>
      <w:tr w:rsidR="00B94BD4" w:rsidRPr="00571A8A" w:rsidTr="00B94BD4">
        <w:tc>
          <w:tcPr>
            <w:tcW w:w="5637" w:type="dxa"/>
            <w:shd w:val="clear" w:color="auto" w:fill="auto"/>
          </w:tcPr>
          <w:p w:rsidR="00B94BD4" w:rsidRPr="00B94BD4" w:rsidRDefault="00B94BD4" w:rsidP="00B94BD4">
            <w:pPr>
              <w:pStyle w:val="Corpodetexto"/>
              <w:ind w:left="100" w:right="381"/>
              <w:jc w:val="both"/>
            </w:pPr>
          </w:p>
        </w:tc>
        <w:tc>
          <w:tcPr>
            <w:tcW w:w="5387" w:type="dxa"/>
            <w:shd w:val="clear" w:color="auto" w:fill="FFFF99"/>
          </w:tcPr>
          <w:p w:rsidR="00B94BD4" w:rsidRPr="00B94BD4" w:rsidRDefault="00B94BD4" w:rsidP="00B94B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</w:pPr>
            <w:r w:rsidRPr="00B94BD4"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  <w:t>Art. 2º Revoga os efeitos de suspensão de vigência de disposições da Resolução CAU/BR nº 51, de 12 de julho de 2013, estabelecidos pela DPOBR nº 094-01/2019 do CAU/BR.</w:t>
            </w:r>
          </w:p>
        </w:tc>
      </w:tr>
      <w:tr w:rsidR="00214E1D" w:rsidRPr="00214E1D" w:rsidTr="000C1622">
        <w:tc>
          <w:tcPr>
            <w:tcW w:w="5637" w:type="dxa"/>
            <w:shd w:val="clear" w:color="auto" w:fill="auto"/>
          </w:tcPr>
          <w:p w:rsidR="00214E1D" w:rsidRPr="00B94BD4" w:rsidRDefault="00214E1D" w:rsidP="000C1622">
            <w:pPr>
              <w:pStyle w:val="Corpodetexto"/>
              <w:ind w:left="100" w:right="381"/>
              <w:jc w:val="both"/>
            </w:pPr>
            <w:r w:rsidRPr="00214E1D">
              <w:rPr>
                <w:strike/>
                <w:color w:val="FF0000"/>
              </w:rPr>
              <w:t>Art. 4°</w:t>
            </w:r>
            <w:r w:rsidRPr="00B94BD4">
              <w:t xml:space="preserve"> Esta Resolução entra em vigor na data de sua publicação, </w:t>
            </w:r>
            <w:r w:rsidRPr="00B94BD4">
              <w:rPr>
                <w:strike/>
                <w:color w:val="FF0000"/>
              </w:rPr>
              <w:t>asseguradas aos técnicos de nível médio ou de 2° grau as prerrogativas conferidas pelo Decreto n° 90.922, de 6 de fevereiro de</w:t>
            </w:r>
            <w:r w:rsidRPr="00B94BD4">
              <w:rPr>
                <w:strike/>
                <w:color w:val="FF0000"/>
                <w:spacing w:val="1"/>
              </w:rPr>
              <w:t xml:space="preserve"> </w:t>
            </w:r>
            <w:r w:rsidRPr="00B94BD4">
              <w:rPr>
                <w:strike/>
                <w:color w:val="FF0000"/>
              </w:rPr>
              <w:t>1985.</w:t>
            </w:r>
          </w:p>
        </w:tc>
        <w:tc>
          <w:tcPr>
            <w:tcW w:w="5387" w:type="dxa"/>
            <w:shd w:val="clear" w:color="auto" w:fill="FFFF99"/>
          </w:tcPr>
          <w:p w:rsidR="00214E1D" w:rsidRPr="00214E1D" w:rsidRDefault="00214E1D" w:rsidP="000C16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 w:val="0"/>
                <w:color w:val="0033CC"/>
                <w:lang w:eastAsia="pt-BR" w:bidi="pt-BR"/>
              </w:rPr>
            </w:pPr>
            <w:r w:rsidRPr="00214E1D">
              <w:rPr>
                <w:rFonts w:ascii="Times New Roman" w:hAnsi="Times New Roman" w:cs="Times New Roman"/>
                <w:b w:val="0"/>
                <w:color w:val="0033CC"/>
              </w:rPr>
              <w:t xml:space="preserve">Art. </w:t>
            </w:r>
            <w:r>
              <w:rPr>
                <w:rFonts w:ascii="Times New Roman" w:hAnsi="Times New Roman" w:cs="Times New Roman"/>
                <w:b w:val="0"/>
                <w:color w:val="0033CC"/>
              </w:rPr>
              <w:t>3</w:t>
            </w:r>
            <w:r w:rsidRPr="00214E1D">
              <w:rPr>
                <w:rFonts w:ascii="Times New Roman" w:hAnsi="Times New Roman" w:cs="Times New Roman"/>
                <w:b w:val="0"/>
                <w:color w:val="0033CC"/>
              </w:rPr>
              <w:t>º Esta Resolução entra em vigor na data de sua publicação.”</w:t>
            </w:r>
          </w:p>
        </w:tc>
      </w:tr>
    </w:tbl>
    <w:p w:rsidR="002F184E" w:rsidRDefault="002F184E" w:rsidP="00E425A3">
      <w:pPr>
        <w:rPr>
          <w:rFonts w:ascii="Times New Roman" w:hAnsi="Times New Roman"/>
          <w:b w:val="0"/>
        </w:rPr>
      </w:pPr>
    </w:p>
    <w:p w:rsidR="002F184E" w:rsidRPr="00F205B4" w:rsidRDefault="002F184E" w:rsidP="00E425A3">
      <w:pPr>
        <w:rPr>
          <w:rFonts w:ascii="Times New Roman" w:hAnsi="Times New Roman"/>
          <w:b w:val="0"/>
        </w:rPr>
      </w:pPr>
    </w:p>
    <w:sectPr w:rsidR="002F184E" w:rsidRPr="00F205B4" w:rsidSect="00FC0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7" w:left="1701" w:header="510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36" w:rsidRDefault="00060A36" w:rsidP="00783D72">
      <w:pPr>
        <w:spacing w:after="0" w:line="240" w:lineRule="auto"/>
      </w:pPr>
      <w:r>
        <w:separator/>
      </w:r>
    </w:p>
  </w:endnote>
  <w:endnote w:type="continuationSeparator" w:id="0">
    <w:p w:rsidR="00060A36" w:rsidRDefault="00060A3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98" w:rsidRDefault="008A7E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126658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p w:rsidR="003943E7" w:rsidRPr="00C25F47" w:rsidRDefault="006D3A9B">
        <w:pPr>
          <w:pStyle w:val="Rodap"/>
          <w:jc w:val="right"/>
          <w:rPr>
            <w:b w:val="0"/>
            <w:bCs/>
            <w:color w:val="008080"/>
          </w:rPr>
        </w:pPr>
        <w:r w:rsidRPr="00C25F47">
          <w:rPr>
            <w:b w:val="0"/>
            <w:bCs/>
            <w:color w:val="008080"/>
          </w:rPr>
          <w:fldChar w:fldCharType="begin"/>
        </w:r>
        <w:r w:rsidR="003943E7" w:rsidRPr="00C25F47">
          <w:rPr>
            <w:bCs/>
            <w:color w:val="008080"/>
          </w:rPr>
          <w:instrText>PAGE   \* MERGEFORMAT</w:instrText>
        </w:r>
        <w:r w:rsidRPr="00C25F47">
          <w:rPr>
            <w:b w:val="0"/>
            <w:bCs/>
            <w:color w:val="008080"/>
          </w:rPr>
          <w:fldChar w:fldCharType="separate"/>
        </w:r>
        <w:r w:rsidR="001A2A7F">
          <w:rPr>
            <w:bCs/>
            <w:noProof/>
            <w:color w:val="008080"/>
          </w:rPr>
          <w:t>1</w:t>
        </w:r>
        <w:r w:rsidRPr="00C25F47">
          <w:rPr>
            <w:b w:val="0"/>
            <w:bCs/>
            <w:color w:val="008080"/>
          </w:rPr>
          <w:fldChar w:fldCharType="end"/>
        </w:r>
      </w:p>
    </w:sdtContent>
  </w:sdt>
  <w:p w:rsidR="003943E7" w:rsidRPr="00C25F47" w:rsidRDefault="003943E7" w:rsidP="00C25F4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-4804</wp:posOffset>
          </wp:positionH>
          <wp:positionV relativeFrom="paragraph">
            <wp:posOffset>4142</wp:posOffset>
          </wp:positionV>
          <wp:extent cx="7550592" cy="715617"/>
          <wp:effectExtent l="19050" t="0" r="0" b="0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592" cy="71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98" w:rsidRDefault="008A7E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36" w:rsidRDefault="00060A36" w:rsidP="00783D72">
      <w:pPr>
        <w:spacing w:after="0" w:line="240" w:lineRule="auto"/>
      </w:pPr>
      <w:r>
        <w:separator/>
      </w:r>
    </w:p>
  </w:footnote>
  <w:footnote w:type="continuationSeparator" w:id="0">
    <w:p w:rsidR="00060A36" w:rsidRDefault="00060A3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98" w:rsidRDefault="008A7E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E7" w:rsidRDefault="00060A36">
    <w:pPr>
      <w:pStyle w:val="Cabealho"/>
    </w:pPr>
    <w:sdt>
      <w:sdtPr>
        <w:id w:val="1922417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242908" o:spid="_x0000_s2049" type="#_x0000_t136" style="position:absolute;margin-left:0;margin-top:0;width:440.7pt;height:188.8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3943E7"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98" w:rsidRDefault="008A7E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8AF"/>
    <w:multiLevelType w:val="hybridMultilevel"/>
    <w:tmpl w:val="DC60E528"/>
    <w:lvl w:ilvl="0" w:tplc="0DA277E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7A7C"/>
    <w:multiLevelType w:val="hybridMultilevel"/>
    <w:tmpl w:val="93523B5E"/>
    <w:lvl w:ilvl="0" w:tplc="BB809B34">
      <w:start w:val="25"/>
      <w:numFmt w:val="decimal"/>
      <w:lvlText w:val="%1"/>
      <w:lvlJc w:val="left"/>
      <w:pPr>
        <w:ind w:left="5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9" w:hanging="360"/>
      </w:pPr>
    </w:lvl>
    <w:lvl w:ilvl="2" w:tplc="0416001B" w:tentative="1">
      <w:start w:val="1"/>
      <w:numFmt w:val="lowerRoman"/>
      <w:lvlText w:val="%3."/>
      <w:lvlJc w:val="right"/>
      <w:pPr>
        <w:ind w:left="1969" w:hanging="180"/>
      </w:pPr>
    </w:lvl>
    <w:lvl w:ilvl="3" w:tplc="0416000F" w:tentative="1">
      <w:start w:val="1"/>
      <w:numFmt w:val="decimal"/>
      <w:lvlText w:val="%4."/>
      <w:lvlJc w:val="left"/>
      <w:pPr>
        <w:ind w:left="2689" w:hanging="360"/>
      </w:pPr>
    </w:lvl>
    <w:lvl w:ilvl="4" w:tplc="04160019" w:tentative="1">
      <w:start w:val="1"/>
      <w:numFmt w:val="lowerLetter"/>
      <w:lvlText w:val="%5."/>
      <w:lvlJc w:val="left"/>
      <w:pPr>
        <w:ind w:left="3409" w:hanging="360"/>
      </w:pPr>
    </w:lvl>
    <w:lvl w:ilvl="5" w:tplc="0416001B" w:tentative="1">
      <w:start w:val="1"/>
      <w:numFmt w:val="lowerRoman"/>
      <w:lvlText w:val="%6."/>
      <w:lvlJc w:val="right"/>
      <w:pPr>
        <w:ind w:left="4129" w:hanging="180"/>
      </w:pPr>
    </w:lvl>
    <w:lvl w:ilvl="6" w:tplc="0416000F" w:tentative="1">
      <w:start w:val="1"/>
      <w:numFmt w:val="decimal"/>
      <w:lvlText w:val="%7."/>
      <w:lvlJc w:val="left"/>
      <w:pPr>
        <w:ind w:left="4849" w:hanging="360"/>
      </w:pPr>
    </w:lvl>
    <w:lvl w:ilvl="7" w:tplc="04160019" w:tentative="1">
      <w:start w:val="1"/>
      <w:numFmt w:val="lowerLetter"/>
      <w:lvlText w:val="%8."/>
      <w:lvlJc w:val="left"/>
      <w:pPr>
        <w:ind w:left="5569" w:hanging="360"/>
      </w:pPr>
    </w:lvl>
    <w:lvl w:ilvl="8" w:tplc="0416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1B7C1E5E"/>
    <w:multiLevelType w:val="multilevel"/>
    <w:tmpl w:val="6EB21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13C"/>
    <w:multiLevelType w:val="hybridMultilevel"/>
    <w:tmpl w:val="08666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2674"/>
    <w:multiLevelType w:val="hybridMultilevel"/>
    <w:tmpl w:val="CDB05C58"/>
    <w:lvl w:ilvl="0" w:tplc="25DCBC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840FF"/>
    <w:multiLevelType w:val="hybridMultilevel"/>
    <w:tmpl w:val="687CC1FE"/>
    <w:lvl w:ilvl="0" w:tplc="809C73A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B3CD6"/>
    <w:multiLevelType w:val="hybridMultilevel"/>
    <w:tmpl w:val="E2661D50"/>
    <w:lvl w:ilvl="0" w:tplc="80FCE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D239E"/>
    <w:multiLevelType w:val="hybridMultilevel"/>
    <w:tmpl w:val="54DCD9EA"/>
    <w:lvl w:ilvl="0" w:tplc="ACE8BE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647E"/>
    <w:rsid w:val="0000727B"/>
    <w:rsid w:val="00024813"/>
    <w:rsid w:val="0003109B"/>
    <w:rsid w:val="00060A36"/>
    <w:rsid w:val="00074029"/>
    <w:rsid w:val="000B4847"/>
    <w:rsid w:val="000B4B1A"/>
    <w:rsid w:val="000F06F3"/>
    <w:rsid w:val="001073EA"/>
    <w:rsid w:val="001127C6"/>
    <w:rsid w:val="00121C3D"/>
    <w:rsid w:val="00126FE7"/>
    <w:rsid w:val="00135D84"/>
    <w:rsid w:val="001416CF"/>
    <w:rsid w:val="001554A5"/>
    <w:rsid w:val="00164F6C"/>
    <w:rsid w:val="001721F5"/>
    <w:rsid w:val="00173106"/>
    <w:rsid w:val="00175147"/>
    <w:rsid w:val="00187E43"/>
    <w:rsid w:val="00193E0F"/>
    <w:rsid w:val="001A2A7F"/>
    <w:rsid w:val="001B275B"/>
    <w:rsid w:val="001C1B20"/>
    <w:rsid w:val="001E41B4"/>
    <w:rsid w:val="00214E1D"/>
    <w:rsid w:val="00226835"/>
    <w:rsid w:val="002402C6"/>
    <w:rsid w:val="002505CD"/>
    <w:rsid w:val="002630D9"/>
    <w:rsid w:val="002672F6"/>
    <w:rsid w:val="0027189E"/>
    <w:rsid w:val="00277F51"/>
    <w:rsid w:val="00282572"/>
    <w:rsid w:val="002A0B9A"/>
    <w:rsid w:val="002B172B"/>
    <w:rsid w:val="002C1A00"/>
    <w:rsid w:val="002D3345"/>
    <w:rsid w:val="002E07C6"/>
    <w:rsid w:val="002F184E"/>
    <w:rsid w:val="002F2914"/>
    <w:rsid w:val="00363315"/>
    <w:rsid w:val="00372682"/>
    <w:rsid w:val="0038735E"/>
    <w:rsid w:val="003943E7"/>
    <w:rsid w:val="003A4A8B"/>
    <w:rsid w:val="003B0716"/>
    <w:rsid w:val="003B5503"/>
    <w:rsid w:val="003E70FD"/>
    <w:rsid w:val="003F133A"/>
    <w:rsid w:val="003F23C2"/>
    <w:rsid w:val="003F7E9F"/>
    <w:rsid w:val="0042470B"/>
    <w:rsid w:val="00436FC0"/>
    <w:rsid w:val="00442E1A"/>
    <w:rsid w:val="00454B4F"/>
    <w:rsid w:val="00455B40"/>
    <w:rsid w:val="00480A51"/>
    <w:rsid w:val="00483272"/>
    <w:rsid w:val="004B2302"/>
    <w:rsid w:val="004C3CE4"/>
    <w:rsid w:val="004D01DF"/>
    <w:rsid w:val="00502F1C"/>
    <w:rsid w:val="00525A8E"/>
    <w:rsid w:val="0054514D"/>
    <w:rsid w:val="00545591"/>
    <w:rsid w:val="00546C7F"/>
    <w:rsid w:val="00547ADA"/>
    <w:rsid w:val="0055062C"/>
    <w:rsid w:val="005B3255"/>
    <w:rsid w:val="005C0125"/>
    <w:rsid w:val="005F3DF9"/>
    <w:rsid w:val="00604026"/>
    <w:rsid w:val="0061798A"/>
    <w:rsid w:val="00633DB7"/>
    <w:rsid w:val="006404F8"/>
    <w:rsid w:val="006547DB"/>
    <w:rsid w:val="00672E06"/>
    <w:rsid w:val="006A5989"/>
    <w:rsid w:val="006B64D8"/>
    <w:rsid w:val="006D3A9B"/>
    <w:rsid w:val="006D5261"/>
    <w:rsid w:val="006E179F"/>
    <w:rsid w:val="006E2A5A"/>
    <w:rsid w:val="00705AEC"/>
    <w:rsid w:val="00755049"/>
    <w:rsid w:val="0077768A"/>
    <w:rsid w:val="00783D72"/>
    <w:rsid w:val="00784E39"/>
    <w:rsid w:val="007A7411"/>
    <w:rsid w:val="007C07A7"/>
    <w:rsid w:val="007C19F2"/>
    <w:rsid w:val="007C29C2"/>
    <w:rsid w:val="007D0AAA"/>
    <w:rsid w:val="00812CE5"/>
    <w:rsid w:val="008252E8"/>
    <w:rsid w:val="00831A11"/>
    <w:rsid w:val="00853CD4"/>
    <w:rsid w:val="0085501A"/>
    <w:rsid w:val="0086131D"/>
    <w:rsid w:val="008765D2"/>
    <w:rsid w:val="008A7E98"/>
    <w:rsid w:val="008B11C0"/>
    <w:rsid w:val="008B58BC"/>
    <w:rsid w:val="008C23B5"/>
    <w:rsid w:val="008E0B4A"/>
    <w:rsid w:val="008F7728"/>
    <w:rsid w:val="0090035F"/>
    <w:rsid w:val="009A4344"/>
    <w:rsid w:val="009A7A63"/>
    <w:rsid w:val="009B4745"/>
    <w:rsid w:val="009C407A"/>
    <w:rsid w:val="009F5860"/>
    <w:rsid w:val="00A01E12"/>
    <w:rsid w:val="00A1498F"/>
    <w:rsid w:val="00A409A5"/>
    <w:rsid w:val="00A43CFF"/>
    <w:rsid w:val="00A55242"/>
    <w:rsid w:val="00A847C6"/>
    <w:rsid w:val="00AA3768"/>
    <w:rsid w:val="00AA49EC"/>
    <w:rsid w:val="00AC519D"/>
    <w:rsid w:val="00AC61CD"/>
    <w:rsid w:val="00AC7032"/>
    <w:rsid w:val="00AD7378"/>
    <w:rsid w:val="00AE102D"/>
    <w:rsid w:val="00AF217A"/>
    <w:rsid w:val="00B00D21"/>
    <w:rsid w:val="00B047DE"/>
    <w:rsid w:val="00B67604"/>
    <w:rsid w:val="00B94BD4"/>
    <w:rsid w:val="00BA0239"/>
    <w:rsid w:val="00BA701E"/>
    <w:rsid w:val="00BB4B15"/>
    <w:rsid w:val="00BB5DA8"/>
    <w:rsid w:val="00BE2F10"/>
    <w:rsid w:val="00BE4363"/>
    <w:rsid w:val="00BF6234"/>
    <w:rsid w:val="00C00FD5"/>
    <w:rsid w:val="00C0167D"/>
    <w:rsid w:val="00C01728"/>
    <w:rsid w:val="00C25F47"/>
    <w:rsid w:val="00C77A87"/>
    <w:rsid w:val="00C77AEA"/>
    <w:rsid w:val="00C80C99"/>
    <w:rsid w:val="00C87936"/>
    <w:rsid w:val="00C91DDB"/>
    <w:rsid w:val="00CA5676"/>
    <w:rsid w:val="00CE0350"/>
    <w:rsid w:val="00CE477B"/>
    <w:rsid w:val="00CF0D74"/>
    <w:rsid w:val="00D26145"/>
    <w:rsid w:val="00D27B7C"/>
    <w:rsid w:val="00D47E07"/>
    <w:rsid w:val="00D53223"/>
    <w:rsid w:val="00D54FDC"/>
    <w:rsid w:val="00D82FFA"/>
    <w:rsid w:val="00D84324"/>
    <w:rsid w:val="00DA61FA"/>
    <w:rsid w:val="00DA6E99"/>
    <w:rsid w:val="00DB1075"/>
    <w:rsid w:val="00DB2DA6"/>
    <w:rsid w:val="00DB7590"/>
    <w:rsid w:val="00DD3D18"/>
    <w:rsid w:val="00DF18E2"/>
    <w:rsid w:val="00E0574E"/>
    <w:rsid w:val="00E34858"/>
    <w:rsid w:val="00E425A3"/>
    <w:rsid w:val="00E548F2"/>
    <w:rsid w:val="00E625E1"/>
    <w:rsid w:val="00E74517"/>
    <w:rsid w:val="00E859E6"/>
    <w:rsid w:val="00E94086"/>
    <w:rsid w:val="00EA3FEF"/>
    <w:rsid w:val="00EB1374"/>
    <w:rsid w:val="00EC21C2"/>
    <w:rsid w:val="00ED2692"/>
    <w:rsid w:val="00ED7498"/>
    <w:rsid w:val="00EE7176"/>
    <w:rsid w:val="00EF070D"/>
    <w:rsid w:val="00EF5445"/>
    <w:rsid w:val="00F16916"/>
    <w:rsid w:val="00F205B4"/>
    <w:rsid w:val="00F22166"/>
    <w:rsid w:val="00F316CC"/>
    <w:rsid w:val="00F3186C"/>
    <w:rsid w:val="00F32C3A"/>
    <w:rsid w:val="00F878E9"/>
    <w:rsid w:val="00FB41EA"/>
    <w:rsid w:val="00FC05C6"/>
    <w:rsid w:val="00FC298F"/>
    <w:rsid w:val="00FC2F54"/>
    <w:rsid w:val="00FD1ED5"/>
    <w:rsid w:val="00FD7F22"/>
    <w:rsid w:val="00FE5AA5"/>
    <w:rsid w:val="00FF43C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346495B-EC7B-44CA-9E81-186BB734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39"/>
    <w:rPr>
      <w:rFonts w:ascii="Arial" w:hAnsi="Arial" w:cs="Arial"/>
      <w:b/>
      <w:color w:val="000000" w:themeColor="text1"/>
    </w:rPr>
  </w:style>
  <w:style w:type="paragraph" w:styleId="Ttulo1">
    <w:name w:val="heading 1"/>
    <w:basedOn w:val="Normal"/>
    <w:next w:val="Normal"/>
    <w:link w:val="Ttulo1Char"/>
    <w:qFormat/>
    <w:rsid w:val="00135D8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Corpodetexto">
    <w:name w:val="Body Text"/>
    <w:basedOn w:val="Normal"/>
    <w:link w:val="CorpodetextoChar"/>
    <w:rsid w:val="002505C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2505CD"/>
    <w:rPr>
      <w:rFonts w:ascii="Times New Roman" w:eastAsia="Times New Roman" w:hAnsi="Times New Roman" w:cs="Times New Roman"/>
      <w:lang w:eastAsia="pt-BR" w:bidi="pt-BR"/>
    </w:rPr>
  </w:style>
  <w:style w:type="paragraph" w:styleId="PargrafodaLista">
    <w:name w:val="List Paragraph"/>
    <w:basedOn w:val="Normal"/>
    <w:uiPriority w:val="1"/>
    <w:qFormat/>
    <w:rsid w:val="00CF0D74"/>
    <w:pPr>
      <w:spacing w:after="0" w:line="240" w:lineRule="auto"/>
      <w:ind w:left="708"/>
    </w:pPr>
    <w:rPr>
      <w:rFonts w:ascii="Cambria" w:eastAsia="Cambria" w:hAnsi="Cambria" w:cs="Times New Roman"/>
      <w:b w:val="0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CF0D74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135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135D84"/>
    <w:pPr>
      <w:spacing w:beforeLines="1" w:afterLines="1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character" w:styleId="Forte">
    <w:name w:val="Strong"/>
    <w:uiPriority w:val="22"/>
    <w:qFormat/>
    <w:rsid w:val="00135D84"/>
    <w:rPr>
      <w:b/>
    </w:rPr>
  </w:style>
  <w:style w:type="character" w:styleId="Hyperlink">
    <w:name w:val="Hyperlink"/>
    <w:basedOn w:val="Fontepargpadro"/>
    <w:uiPriority w:val="99"/>
    <w:unhideWhenUsed/>
    <w:rsid w:val="00135D84"/>
    <w:rPr>
      <w:color w:val="0563C1" w:themeColor="hyperlink"/>
      <w:u w:val="single"/>
    </w:rPr>
  </w:style>
  <w:style w:type="paragraph" w:customStyle="1" w:styleId="Default">
    <w:name w:val="Default"/>
    <w:rsid w:val="00AA3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01E12"/>
    <w:pPr>
      <w:widowControl w:val="0"/>
      <w:autoSpaceDE w:val="0"/>
      <w:autoSpaceDN w:val="0"/>
      <w:spacing w:before="4" w:after="0" w:line="251" w:lineRule="exact"/>
      <w:ind w:left="486" w:hanging="386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B10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B1075"/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78E2-3D53-4A63-9328-B5148B39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CEP-CAUBR</dc:creator>
  <cp:lastModifiedBy>Emerson Fonseca Fraga</cp:lastModifiedBy>
  <cp:revision>2</cp:revision>
  <dcterms:created xsi:type="dcterms:W3CDTF">2021-08-18T19:24:00Z</dcterms:created>
  <dcterms:modified xsi:type="dcterms:W3CDTF">2021-08-18T19:24:00Z</dcterms:modified>
</cp:coreProperties>
</file>