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D0709" w:rsidRDefault="0050229D">
      <w:pPr>
        <w:spacing w:before="1.90pt"/>
        <w:ind w:start="121.10pt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284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ATO DECLARATÓRIO N° 2, DE 18 DE DEZEMBRO DE 2012</w:t>
      </w:r>
    </w:p>
    <w:p w:rsidR="008D0709" w:rsidRDefault="008D0709">
      <w:pPr>
        <w:pStyle w:val="Corpodetexto"/>
        <w:spacing w:before="0.60pt"/>
        <w:rPr>
          <w:b/>
          <w:sz w:val="23"/>
        </w:rPr>
      </w:pPr>
    </w:p>
    <w:p w:rsidR="008D0709" w:rsidRDefault="0050229D">
      <w:pPr>
        <w:pStyle w:val="Corpodetexto"/>
        <w:ind w:start="239.60pt" w:end="5.55pt"/>
        <w:jc w:val="both"/>
      </w:pPr>
      <w:r>
        <w:t>Fixa os valores de anuidades, da taxa de Registro de Responsabilidade Técnica (RRT) e da taxa de emissão de carteira profissional para o exercício de 2013 e dá outras providências.</w:t>
      </w:r>
    </w:p>
    <w:p w:rsidR="008D0709" w:rsidRDefault="008D0709">
      <w:pPr>
        <w:pStyle w:val="Corpodetexto"/>
        <w:spacing w:before="0.05pt"/>
      </w:pPr>
    </w:p>
    <w:p w:rsidR="008D0709" w:rsidRDefault="0050229D">
      <w:pPr>
        <w:pStyle w:val="Corpodetexto"/>
        <w:ind w:start="26.90pt" w:end="5.40pt"/>
        <w:jc w:val="both"/>
      </w:pPr>
      <w:r>
        <w:t xml:space="preserve">O Presidente do Conselho de Arquitetura e Urbanismo do Brasil (CAU/BR), no uso das atribuições que lhe conferem o art. 29, inciso III da Lei n° 12.378, de 31 de dezembro de 2010, o art. 70, inciso I do Regimento Geral aprovado pela Resolução CAU/BR n° 33, </w:t>
      </w:r>
      <w:r>
        <w:t>de 6 de setembro de 2012, e as Resoluções CAU/BR n° 3, de 15 de dezembro de 2011 e n° 37, de 9 de novembro de 2012;</w:t>
      </w:r>
    </w:p>
    <w:p w:rsidR="008D0709" w:rsidRDefault="008D0709">
      <w:pPr>
        <w:pStyle w:val="Corpodetexto"/>
      </w:pPr>
    </w:p>
    <w:p w:rsidR="008D0709" w:rsidRDefault="0050229D">
      <w:pPr>
        <w:pStyle w:val="Corpodetexto"/>
        <w:ind w:start="26.90pt"/>
        <w:jc w:val="both"/>
      </w:pPr>
      <w:r>
        <w:t>Resolve:</w:t>
      </w:r>
    </w:p>
    <w:p w:rsidR="008D0709" w:rsidRDefault="008D0709">
      <w:pPr>
        <w:pStyle w:val="Corpodetexto"/>
        <w:spacing w:before="0.60pt"/>
        <w:rPr>
          <w:sz w:val="23"/>
        </w:rPr>
      </w:pPr>
    </w:p>
    <w:p w:rsidR="008D0709" w:rsidRDefault="0050229D">
      <w:pPr>
        <w:pStyle w:val="Corpodetexto"/>
        <w:ind w:start="26.90pt" w:end="5.50pt"/>
        <w:jc w:val="both"/>
      </w:pPr>
      <w:r>
        <w:t>Art. 1° São fixados, para vigorarem a partir de 1° de janeiro de 2013, os seguintes valores de anuidades e taxas devidas aos Cons</w:t>
      </w:r>
      <w:r>
        <w:t>elhos de Arquitetura e Urbanismo dos Estados e do Distrito Federal</w:t>
      </w:r>
      <w:r>
        <w:rPr>
          <w:spacing w:val="-3"/>
        </w:rPr>
        <w:t xml:space="preserve"> </w:t>
      </w:r>
      <w:r>
        <w:t>(CAU/UF):</w:t>
      </w:r>
    </w:p>
    <w:p w:rsidR="008D0709" w:rsidRDefault="008D0709">
      <w:pPr>
        <w:pStyle w:val="Corpodetexto"/>
        <w:spacing w:before="0.05pt"/>
      </w:pPr>
    </w:p>
    <w:p w:rsidR="008D0709" w:rsidRDefault="0050229D">
      <w:pPr>
        <w:pStyle w:val="PargrafodaLista"/>
        <w:numPr>
          <w:ilvl w:val="0"/>
          <w:numId w:val="1"/>
        </w:numPr>
        <w:tabs>
          <w:tab w:val="start" w:pos="36.80pt"/>
        </w:tabs>
        <w:spacing w:before="0.05pt"/>
        <w:ind w:firstLine="0pt"/>
        <w:jc w:val="both"/>
        <w:rPr>
          <w:sz w:val="24"/>
        </w:rPr>
      </w:pPr>
      <w:r>
        <w:rPr>
          <w:sz w:val="24"/>
        </w:rPr>
        <w:t xml:space="preserve">R$ 391,37 (trezentos e noventa e um reais e trinta e sete centavos) para a anuidade prevista no art. 42 da Lei n° 12.378, de 31 de dezembro de 2010, devido pelos profissionais e </w:t>
      </w:r>
      <w:r>
        <w:rPr>
          <w:sz w:val="24"/>
        </w:rPr>
        <w:t>pessoas jurídicas inscritos nos Conselhos de Arquitetura e Urbanismo dos Estados e do Distrito Federal (CAU/UF);</w:t>
      </w:r>
    </w:p>
    <w:p w:rsidR="008D0709" w:rsidRDefault="008D0709">
      <w:pPr>
        <w:pStyle w:val="Corpodetexto"/>
        <w:spacing w:before="0.55pt"/>
        <w:rPr>
          <w:sz w:val="23"/>
        </w:rPr>
      </w:pPr>
    </w:p>
    <w:p w:rsidR="008D0709" w:rsidRDefault="0050229D">
      <w:pPr>
        <w:pStyle w:val="PargrafodaLista"/>
        <w:numPr>
          <w:ilvl w:val="0"/>
          <w:numId w:val="1"/>
        </w:numPr>
        <w:tabs>
          <w:tab w:val="start" w:pos="39.45pt"/>
        </w:tabs>
        <w:ind w:firstLine="0pt"/>
        <w:jc w:val="both"/>
        <w:rPr>
          <w:sz w:val="24"/>
        </w:rPr>
      </w:pPr>
      <w:r>
        <w:rPr>
          <w:sz w:val="24"/>
        </w:rPr>
        <w:t>R$ 67,09 (sessenta e sete reais e nove centavos) para a taxa de Registro de Responsabilidade Técnica (RRT) prevista no art. 49 da Lei n° 12.37</w:t>
      </w:r>
      <w:r>
        <w:rPr>
          <w:sz w:val="24"/>
        </w:rPr>
        <w:t>8, de 31 de dezembro de</w:t>
      </w:r>
      <w:r>
        <w:rPr>
          <w:spacing w:val="-19"/>
          <w:sz w:val="24"/>
        </w:rPr>
        <w:t xml:space="preserve"> </w:t>
      </w:r>
      <w:r>
        <w:rPr>
          <w:sz w:val="24"/>
        </w:rPr>
        <w:t>2010;</w:t>
      </w:r>
    </w:p>
    <w:p w:rsidR="008D0709" w:rsidRDefault="008D0709">
      <w:pPr>
        <w:pStyle w:val="Corpodetexto"/>
      </w:pPr>
    </w:p>
    <w:p w:rsidR="008D0709" w:rsidRDefault="0050229D">
      <w:pPr>
        <w:pStyle w:val="PargrafodaLista"/>
        <w:numPr>
          <w:ilvl w:val="0"/>
          <w:numId w:val="1"/>
        </w:numPr>
        <w:tabs>
          <w:tab w:val="start" w:pos="42.90pt"/>
        </w:tabs>
        <w:ind w:end="5.35pt" w:firstLine="0pt"/>
        <w:jc w:val="both"/>
        <w:rPr>
          <w:sz w:val="24"/>
        </w:rPr>
      </w:pPr>
      <w:r>
        <w:rPr>
          <w:sz w:val="24"/>
        </w:rPr>
        <w:t>R$ 40,00 (quarenta reais) para a taxa de emissão de carteira profissional prevista no art. 3° da Resolução CAU/BR n° 14, de 3 de fevereiro de 2012, com a redação dada pela Resolução CAU/BR n° 37, de 9 de novembro de</w:t>
      </w:r>
      <w:r>
        <w:rPr>
          <w:spacing w:val="-9"/>
          <w:sz w:val="24"/>
        </w:rPr>
        <w:t xml:space="preserve"> </w:t>
      </w:r>
      <w:r>
        <w:rPr>
          <w:sz w:val="24"/>
        </w:rPr>
        <w:t>2012.</w:t>
      </w:r>
    </w:p>
    <w:p w:rsidR="008D0709" w:rsidRDefault="008D0709">
      <w:pPr>
        <w:pStyle w:val="Corpodetexto"/>
        <w:spacing w:before="0.05pt"/>
      </w:pPr>
    </w:p>
    <w:p w:rsidR="008D0709" w:rsidRDefault="0050229D">
      <w:pPr>
        <w:pStyle w:val="Corpodetexto"/>
        <w:spacing w:before="0.05pt"/>
        <w:ind w:start="26.90pt"/>
        <w:jc w:val="both"/>
      </w:pPr>
      <w:r>
        <w:t>Art. 2° Este Ato Declaratório entra em vigor na data de sua publicação.</w:t>
      </w:r>
    </w:p>
    <w:p w:rsidR="008D0709" w:rsidRDefault="008D0709">
      <w:pPr>
        <w:pStyle w:val="Corpodetexto"/>
        <w:spacing w:before="0.55pt"/>
        <w:rPr>
          <w:sz w:val="23"/>
        </w:rPr>
      </w:pPr>
    </w:p>
    <w:p w:rsidR="008D0709" w:rsidRDefault="0050229D">
      <w:pPr>
        <w:pStyle w:val="Corpodetexto"/>
        <w:ind w:start="159.95pt" w:end="138.70pt"/>
        <w:jc w:val="center"/>
      </w:pPr>
      <w:r>
        <w:t>Brasília, 18 de dezembro de 2012.</w:t>
      </w:r>
    </w:p>
    <w:p w:rsidR="008D0709" w:rsidRDefault="008D0709">
      <w:pPr>
        <w:pStyle w:val="Corpodetexto"/>
      </w:pPr>
    </w:p>
    <w:p w:rsidR="008D0709" w:rsidRDefault="008D0709">
      <w:pPr>
        <w:pStyle w:val="Corpodetexto"/>
      </w:pPr>
    </w:p>
    <w:p w:rsidR="008D0709" w:rsidRDefault="0050229D">
      <w:pPr>
        <w:pStyle w:val="Corpodetexto"/>
        <w:ind w:start="160pt" w:end="138.70pt"/>
        <w:jc w:val="center"/>
      </w:pPr>
      <w:r>
        <w:t>HAROLDO PINHEIRO VILLAR DE QUEIROZ</w:t>
      </w:r>
    </w:p>
    <w:p w:rsidR="008D0709" w:rsidRDefault="0050229D">
      <w:pPr>
        <w:pStyle w:val="Corpodetexto"/>
        <w:ind w:start="159.90pt" w:end="138.70pt"/>
        <w:jc w:val="center"/>
      </w:pPr>
      <w:r>
        <w:t>Presidente do CAU/BR</w:t>
      </w:r>
    </w:p>
    <w:p w:rsidR="008D0709" w:rsidRDefault="008D0709">
      <w:pPr>
        <w:pStyle w:val="Corpodetexto"/>
      </w:pPr>
    </w:p>
    <w:p w:rsidR="008D0709" w:rsidRDefault="008D0709">
      <w:pPr>
        <w:pStyle w:val="Corpodetexto"/>
      </w:pPr>
    </w:p>
    <w:p w:rsidR="008D0709" w:rsidRDefault="008D0709">
      <w:pPr>
        <w:pStyle w:val="Corpodetexto"/>
      </w:pPr>
    </w:p>
    <w:p w:rsidR="008D0709" w:rsidRDefault="008D0709">
      <w:pPr>
        <w:pStyle w:val="Corpodetexto"/>
      </w:pPr>
    </w:p>
    <w:p w:rsidR="008D0709" w:rsidRDefault="008D0709">
      <w:pPr>
        <w:pStyle w:val="Corpodetexto"/>
      </w:pPr>
    </w:p>
    <w:p w:rsidR="008D0709" w:rsidRDefault="008D0709">
      <w:pPr>
        <w:pStyle w:val="Corpodetexto"/>
      </w:pPr>
    </w:p>
    <w:p w:rsidR="008D0709" w:rsidRDefault="008D0709">
      <w:pPr>
        <w:pStyle w:val="Corpodetexto"/>
      </w:pPr>
    </w:p>
    <w:p w:rsidR="008D0709" w:rsidRDefault="008D0709">
      <w:pPr>
        <w:pStyle w:val="Corpodetexto"/>
        <w:spacing w:before="0.05pt"/>
      </w:pPr>
    </w:p>
    <w:p w:rsidR="008D0709" w:rsidRDefault="0050229D">
      <w:pPr>
        <w:ind w:start="26.90pt"/>
        <w:jc w:val="both"/>
        <w:rPr>
          <w:sz w:val="20"/>
        </w:rPr>
      </w:pPr>
      <w:r>
        <w:rPr>
          <w:sz w:val="20"/>
        </w:rPr>
        <w:t>(Publicado no Diário Oficial da União, Edição n° 249, Seção 1, de 27 de dezembro de</w:t>
      </w:r>
      <w:r>
        <w:rPr>
          <w:sz w:val="20"/>
        </w:rPr>
        <w:t xml:space="preserve"> 2012)</w:t>
      </w:r>
    </w:p>
    <w:p w:rsidR="008D0709" w:rsidRDefault="008D0709">
      <w:pPr>
        <w:pStyle w:val="Corpodetexto"/>
        <w:spacing w:before="0.10pt"/>
        <w:rPr>
          <w:sz w:val="27"/>
        </w:rPr>
      </w:pPr>
    </w:p>
    <w:p w:rsidR="008D0709" w:rsidRDefault="0050229D">
      <w:pPr>
        <w:spacing w:before="4.80pt"/>
        <w:ind w:start="5.55pt"/>
        <w:rPr>
          <w:rFonts w:ascii="Arial" w:hAnsi="Arial"/>
          <w:sz w:val="16"/>
        </w:rPr>
      </w:pPr>
      <w:r>
        <w:rPr>
          <w:rFonts w:ascii="Arial" w:hAnsi="Arial"/>
          <w:color w:val="003333"/>
          <w:sz w:val="16"/>
        </w:rPr>
        <w:t>SCN Qd.01, Bloco E, Ed. Central Park, Salas 302/303 | CEP: 70711-903 Brasília/DF | Tel.: (61) 3326-2272 / 2297 - 3328-5632 / 5946</w:t>
      </w:r>
    </w:p>
    <w:p w:rsidR="008D0709" w:rsidRDefault="0050229D">
      <w:pPr>
        <w:spacing w:before="1.80pt"/>
        <w:ind w:start="5.55pt"/>
        <w:rPr>
          <w:rFonts w:ascii="Arial"/>
        </w:rPr>
      </w:pPr>
      <w:hyperlink r:id="rId6">
        <w:r>
          <w:rPr>
            <w:rFonts w:ascii="Arial"/>
            <w:b/>
            <w:color w:val="003333"/>
          </w:rPr>
          <w:t xml:space="preserve">www.caubr.gov.br </w:t>
        </w:r>
      </w:hyperlink>
      <w:r>
        <w:rPr>
          <w:rFonts w:ascii="Arial"/>
          <w:color w:val="003333"/>
        </w:rPr>
        <w:t xml:space="preserve">/ </w:t>
      </w:r>
      <w:hyperlink r:id="rId7">
        <w:r>
          <w:rPr>
            <w:rFonts w:ascii="Arial"/>
            <w:color w:val="003333"/>
          </w:rPr>
          <w:t>atendimento@caubr.gov.br</w:t>
        </w:r>
      </w:hyperlink>
    </w:p>
    <w:sectPr w:rsidR="008D0709">
      <w:type w:val="continuous"/>
      <w:pgSz w:w="595pt" w:h="842.50pt"/>
      <w:pgMar w:top="77pt" w:right="51pt" w:bottom="14pt" w:left="44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83504A"/>
    <w:multiLevelType w:val="hybridMultilevel"/>
    <w:tmpl w:val="D6AAB20E"/>
    <w:lvl w:ilvl="0" w:tplc="612AE964">
      <w:start w:val="1"/>
      <w:numFmt w:val="upperRoman"/>
      <w:lvlText w:val="%1)"/>
      <w:lvlJc w:val="start"/>
      <w:pPr>
        <w:ind w:start="26.90pt" w:hanging="9.85pt"/>
        <w:jc w:val="start"/>
      </w:pPr>
      <w:rPr>
        <w:rFonts w:ascii="Calibri" w:eastAsia="Calibri" w:hAnsi="Calibri" w:cs="Calibri" w:hint="default"/>
        <w:w w:val="100%"/>
        <w:sz w:val="24"/>
        <w:szCs w:val="24"/>
        <w:lang w:val="pt-BR" w:eastAsia="pt-BR" w:bidi="pt-BR"/>
      </w:rPr>
    </w:lvl>
    <w:lvl w:ilvl="1" w:tplc="40C4289E">
      <w:numFmt w:val="bullet"/>
      <w:lvlText w:val="•"/>
      <w:lvlJc w:val="start"/>
      <w:pPr>
        <w:ind w:start="74.25pt" w:hanging="9.85pt"/>
      </w:pPr>
      <w:rPr>
        <w:rFonts w:hint="default"/>
        <w:lang w:val="pt-BR" w:eastAsia="pt-BR" w:bidi="pt-BR"/>
      </w:rPr>
    </w:lvl>
    <w:lvl w:ilvl="2" w:tplc="B016D644">
      <w:numFmt w:val="bullet"/>
      <w:lvlText w:val="•"/>
      <w:lvlJc w:val="start"/>
      <w:pPr>
        <w:ind w:start="121.55pt" w:hanging="9.85pt"/>
      </w:pPr>
      <w:rPr>
        <w:rFonts w:hint="default"/>
        <w:lang w:val="pt-BR" w:eastAsia="pt-BR" w:bidi="pt-BR"/>
      </w:rPr>
    </w:lvl>
    <w:lvl w:ilvl="3" w:tplc="A8DECA18">
      <w:numFmt w:val="bullet"/>
      <w:lvlText w:val="•"/>
      <w:lvlJc w:val="start"/>
      <w:pPr>
        <w:ind w:start="168.85pt" w:hanging="9.85pt"/>
      </w:pPr>
      <w:rPr>
        <w:rFonts w:hint="default"/>
        <w:lang w:val="pt-BR" w:eastAsia="pt-BR" w:bidi="pt-BR"/>
      </w:rPr>
    </w:lvl>
    <w:lvl w:ilvl="4" w:tplc="9CE204B0">
      <w:numFmt w:val="bullet"/>
      <w:lvlText w:val="•"/>
      <w:lvlJc w:val="start"/>
      <w:pPr>
        <w:ind w:start="216.15pt" w:hanging="9.85pt"/>
      </w:pPr>
      <w:rPr>
        <w:rFonts w:hint="default"/>
        <w:lang w:val="pt-BR" w:eastAsia="pt-BR" w:bidi="pt-BR"/>
      </w:rPr>
    </w:lvl>
    <w:lvl w:ilvl="5" w:tplc="1BB08306">
      <w:numFmt w:val="bullet"/>
      <w:lvlText w:val="•"/>
      <w:lvlJc w:val="start"/>
      <w:pPr>
        <w:ind w:start="263.45pt" w:hanging="9.85pt"/>
      </w:pPr>
      <w:rPr>
        <w:rFonts w:hint="default"/>
        <w:lang w:val="pt-BR" w:eastAsia="pt-BR" w:bidi="pt-BR"/>
      </w:rPr>
    </w:lvl>
    <w:lvl w:ilvl="6" w:tplc="EFE0E4DA">
      <w:numFmt w:val="bullet"/>
      <w:lvlText w:val="•"/>
      <w:lvlJc w:val="start"/>
      <w:pPr>
        <w:ind w:start="310.75pt" w:hanging="9.85pt"/>
      </w:pPr>
      <w:rPr>
        <w:rFonts w:hint="default"/>
        <w:lang w:val="pt-BR" w:eastAsia="pt-BR" w:bidi="pt-BR"/>
      </w:rPr>
    </w:lvl>
    <w:lvl w:ilvl="7" w:tplc="1E6696E0">
      <w:numFmt w:val="bullet"/>
      <w:lvlText w:val="•"/>
      <w:lvlJc w:val="start"/>
      <w:pPr>
        <w:ind w:start="358.05pt" w:hanging="9.85pt"/>
      </w:pPr>
      <w:rPr>
        <w:rFonts w:hint="default"/>
        <w:lang w:val="pt-BR" w:eastAsia="pt-BR" w:bidi="pt-BR"/>
      </w:rPr>
    </w:lvl>
    <w:lvl w:ilvl="8" w:tplc="799E0EA4">
      <w:numFmt w:val="bullet"/>
      <w:lvlText w:val="•"/>
      <w:lvlJc w:val="start"/>
      <w:pPr>
        <w:ind w:start="405.35pt" w:hanging="9.85pt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09"/>
    <w:rsid w:val="0050229D"/>
    <w:rsid w:val="008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BC4DF7-D00E-4C7D-9FCA-19F46F3464E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start="26.90pt" w:end="5.55pt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atendimento@caubr.gov.br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http://www.caubr.gov.br/" TargetMode="External"/><Relationship Id="rId5" Type="http://purl.oclc.org/ooxml/officeDocument/relationships/image" Target="media/image1.jpeg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Telles Bellomo de Farias</cp:lastModifiedBy>
  <cp:revision>2</cp:revision>
  <dcterms:created xsi:type="dcterms:W3CDTF">2019-06-03T18:34:00Z</dcterms:created>
  <dcterms:modified xsi:type="dcterms:W3CDTF">2019-06-03T18:34:00Z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2013-01-03T00:00:00Z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2019-06-03T00:00:00Z</vt:filetime>
  </property>
</Properties>
</file>