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8F17BF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8F17BF" w:rsidRDefault="00984E8E">
            <w:pPr>
              <w:keepNext/>
              <w:spacing w:before="3pt" w:after="3pt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62ª REUNIÃO ORDINÁRIA CRI-CAU/BR</w:t>
            </w:r>
          </w:p>
        </w:tc>
      </w:tr>
    </w:tbl>
    <w:p w:rsidR="008F17BF" w:rsidRDefault="008F17B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4.3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002"/>
        <w:gridCol w:w="3243"/>
        <w:gridCol w:w="1448"/>
        <w:gridCol w:w="2379"/>
      </w:tblGrid>
      <w:tr w:rsidR="008F17BF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F17BF" w:rsidRDefault="00984E8E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F17BF" w:rsidRDefault="00984E8E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maio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F17BF" w:rsidRDefault="00984E8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F17BF" w:rsidRDefault="00984E8E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 às 18h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F17BF" w:rsidRDefault="00984E8E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3.5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F17BF" w:rsidRDefault="00984E8E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DF</w:t>
            </w:r>
          </w:p>
        </w:tc>
      </w:tr>
    </w:tbl>
    <w:p w:rsidR="008F17BF" w:rsidRDefault="008F17B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8F17B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Fernando Marcio de Oliveira (SE)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8F17B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Nádia Somekh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(SP)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Coordenadora-adjunta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8F17B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ind w:start="-5.40pt" w:firstLine="5.40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Eduardo Pasquinelli Rocio (ES)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8F17B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Hélio Cavalcanti da Costa Lima (PB)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8F17B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Jeferson Dantas Navolar (PR)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F17BF" w:rsidRDefault="00984E8E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 Laterza</w:t>
            </w:r>
          </w:p>
        </w:tc>
      </w:tr>
    </w:tbl>
    <w:p w:rsidR="008F17BF" w:rsidRDefault="008F17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F17BF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61ª Reunião Ordinária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súmula </w:t>
            </w:r>
            <w:r>
              <w:rPr>
                <w:rFonts w:ascii="Times New Roman" w:hAnsi="Times New Roman"/>
                <w:sz w:val="22"/>
                <w:szCs w:val="22"/>
              </w:rPr>
              <w:t>foi aprovada. Encaminhar para publicação.</w:t>
            </w:r>
          </w:p>
        </w:tc>
      </w:tr>
    </w:tbl>
    <w:p w:rsidR="008F17BF" w:rsidRDefault="008F17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F17BF" w:rsidRDefault="00984E8E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8F17BF" w:rsidRDefault="008F17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8F17B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Minuta de MoU com 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Bundesarchitektenkammer </w:t>
            </w:r>
            <w:r>
              <w:rPr>
                <w:rFonts w:ascii="Times New Roman" w:hAnsi="Times New Roman"/>
                <w:sz w:val="22"/>
                <w:szCs w:val="22"/>
              </w:rPr>
              <w:t>- Câmara Federal de Arquitetos Alemães (BAK)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 e BAK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1. Responder à BAK que o orçamento do CAU/BR já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foi direcionado a outras representações internacionais, encaminhando material institucional e solicitando videoconferência em julho durante a reunião da CRI para aproximação.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Encaminhar material institucional ao MDIC e solicitar apoio do Ministério par</w:t>
            </w:r>
            <w:r>
              <w:rPr>
                <w:rFonts w:ascii="Times New Roman" w:hAnsi="Times New Roman"/>
                <w:sz w:val="22"/>
                <w:szCs w:val="22"/>
              </w:rPr>
              <w:t>a o compartilhamento das publicações com as contrapartes do CAU/BR durante a missão governamental à Alemanha, Dinamarca e Noruega.</w:t>
            </w:r>
          </w:p>
        </w:tc>
      </w:tr>
    </w:tbl>
    <w:p w:rsidR="008F17BF" w:rsidRDefault="008F17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8F17B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Renovação do Memorando de Entendimento com 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National Architectural Accrediting Board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Conselho Nacional de Acreditação d</w:t>
            </w:r>
            <w:r>
              <w:rPr>
                <w:rFonts w:ascii="Times New Roman" w:hAnsi="Times New Roman"/>
                <w:sz w:val="22"/>
                <w:szCs w:val="22"/>
              </w:rPr>
              <w:t>e Arquitetura (NAAB)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 e NAAB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Encaminhar o texto do acordo vigente para a CEF solicitando contribuições e a indicação de possíveis objetos de trabalho ou interesse específico no âmbito da parceria já </w:t>
            </w:r>
            <w:r>
              <w:rPr>
                <w:rFonts w:ascii="Times New Roman" w:hAnsi="Times New Roman"/>
                <w:sz w:val="22"/>
                <w:szCs w:val="22"/>
              </w:rPr>
              <w:t>estabelecida.</w:t>
            </w:r>
          </w:p>
        </w:tc>
      </w:tr>
    </w:tbl>
    <w:p w:rsidR="008F17BF" w:rsidRDefault="008F17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8F17B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Renovação do Memorando de Entendimento com 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Royal Institute of British Architects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Instituto Real de Arquitetos Britânicos (RIBA)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 e RIBA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Responder que o coordenador e a assessora téc</w:t>
            </w:r>
            <w:r>
              <w:rPr>
                <w:rFonts w:ascii="Times New Roman" w:hAnsi="Times New Roman"/>
                <w:sz w:val="22"/>
                <w:szCs w:val="22"/>
              </w:rPr>
              <w:t>nica da CRI estarão presentes na Convenção do AIA, junto com a coordenadora da CEF e vice-presidente da UIA para as Américas. Informar sobre o 5º Fórum Internacional de Patrimônio Arquitetônico Brasil /Portugal e indagar se o RIBA tem interesse em apoiar o</w:t>
            </w:r>
            <w:r>
              <w:rPr>
                <w:rFonts w:ascii="Times New Roman" w:hAnsi="Times New Roman"/>
                <w:sz w:val="22"/>
                <w:szCs w:val="22"/>
              </w:rPr>
              <w:t>u participar do evento, encaminhando a resposta à coordenadora da CEF.</w:t>
            </w:r>
          </w:p>
        </w:tc>
      </w:tr>
    </w:tbl>
    <w:p w:rsidR="008F17BF" w:rsidRDefault="008F17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8F17B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Operacionalização do Acordo de Cooperação com 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Consejo Superior de los Colegios de Arquitectos de España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- Conselho Superior dos Colégios de Arquitetos da Espanha (CSCAE) 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 e CSCAE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à CEF, solicitando maiores informações sobre os problemas no reconhecimento de títulos de arquitetos e urbanistas brasileiros na Espanha e dos arquitetos espanhóis no Brasil. Solicitar tamb</w:t>
            </w:r>
            <w:r>
              <w:rPr>
                <w:rFonts w:ascii="Times New Roman" w:hAnsi="Times New Roman"/>
                <w:sz w:val="22"/>
                <w:szCs w:val="22"/>
              </w:rPr>
              <w:t>ém manifestação de interesses específicos no âmbito da parceria já estabelecida.</w:t>
            </w:r>
          </w:p>
        </w:tc>
      </w:tr>
    </w:tbl>
    <w:p w:rsidR="008F17BF" w:rsidRDefault="008F17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8F17B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Operacionalização do Memorando de Entendimento com a Ordem de Arquitectos de Angola (OAA)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 e OAA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Enviar e-mail </w:t>
            </w:r>
            <w:r>
              <w:rPr>
                <w:rFonts w:ascii="Times New Roman" w:hAnsi="Times New Roman"/>
                <w:sz w:val="22"/>
                <w:szCs w:val="22"/>
              </w:rPr>
              <w:t>indagando se algum representante da OAA irá participar da Convenção do AIA.</w:t>
            </w:r>
          </w:p>
        </w:tc>
      </w:tr>
    </w:tbl>
    <w:p w:rsidR="008F17BF" w:rsidRDefault="008F17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8F17B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Acompanhamento do Acordo de Cooperação com a Ordem dos Arquitectos de Portugal 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 e OA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Agendadas duas reuniões no dia 4 de </w:t>
            </w:r>
            <w:r>
              <w:rPr>
                <w:rFonts w:ascii="Times New Roman" w:hAnsi="Times New Roman"/>
                <w:sz w:val="22"/>
                <w:szCs w:val="22"/>
              </w:rPr>
              <w:t>junho, uma com a Ordem dos Arquitectos de Portugal e outra com os arquitetos brasileiros registrados na OA.</w:t>
            </w:r>
          </w:p>
        </w:tc>
      </w:tr>
    </w:tbl>
    <w:p w:rsidR="008F17BF" w:rsidRDefault="008F17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8F17B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682794/2018 - Comunicação de Arquiteto e Urbanista brasileiro residente em Portugal, solicitando reconsideração da dívida referente às anuidades </w:t>
            </w:r>
            <w:r>
              <w:rPr>
                <w:rFonts w:ascii="Times New Roman" w:hAnsi="Times New Roman"/>
                <w:sz w:val="22"/>
                <w:szCs w:val="22"/>
              </w:rPr>
              <w:t>não pagas.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Encaminhar a demanda à CPFI e informar o requerente sobre o despacho.</w:t>
            </w:r>
          </w:p>
        </w:tc>
      </w:tr>
    </w:tbl>
    <w:p w:rsidR="008F17BF" w:rsidRDefault="008F17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8F17B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Mapeamento de relações/políticas estratégicas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Marcar reunião </w:t>
            </w:r>
            <w:r>
              <w:rPr>
                <w:rFonts w:ascii="Times New Roman" w:hAnsi="Times New Roman"/>
                <w:sz w:val="22"/>
                <w:szCs w:val="22"/>
              </w:rPr>
              <w:t>com CAU/SP para discutir um planejamento e linhas de ação dentro do Convênio para o mapeamento dos países estratégicos para o setor de Arquitetura e Urbanismo.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Pesquisar oportunidades de relações com entidades de representação da profissão para discussão n</w:t>
            </w:r>
            <w:r>
              <w:rPr>
                <w:rFonts w:ascii="Times New Roman" w:hAnsi="Times New Roman"/>
                <w:sz w:val="22"/>
                <w:szCs w:val="22"/>
              </w:rPr>
              <w:t>a reunião de julho.</w:t>
            </w:r>
          </w:p>
        </w:tc>
      </w:tr>
    </w:tbl>
    <w:p w:rsidR="008F17BF" w:rsidRDefault="008F17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8F17B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Proposta de formatação do site do CAU/BR em línguas estrangeiras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da CRI-CAU/BR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CRI-CAU/BR Nº 032/2018: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– Propor ao gabinete a formatação do CAU/BR em línguas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estrangeiras, sugerindo como idiomas prioritários o inglês e o espanhol. 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2 - Sugerir a tradução das seções: APRESENTAÇÃO, QUEM É QUEM, 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proposta ao gabinete, indicando os conteúdos que seriam prioritariamente traduzidos.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– Que tipo de materia</w:t>
            </w:r>
            <w:r>
              <w:rPr>
                <w:rFonts w:ascii="Times New Roman" w:hAnsi="Times New Roman"/>
                <w:sz w:val="22"/>
                <w:szCs w:val="22"/>
              </w:rPr>
              <w:t>l (notícias, etc.) seria lançado também constantemente em língua estrangeira.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 – Inglês e espanhol.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Sugerir que seja disponibilizado um vídeo institucional em inglês e que sejam traduzidos para inglês e espanhol as seguintes seções do site: quem é quem; a</w:t>
            </w:r>
            <w:r>
              <w:rPr>
                <w:rFonts w:ascii="Times New Roman" w:hAnsi="Times New Roman"/>
                <w:sz w:val="22"/>
                <w:szCs w:val="22"/>
              </w:rPr>
              <w:t>presentação; registro de diplomados no exterior; relações internacionais (acordos e textos); contatos da CRI e notícias sobre acordos, eventos, concursos, representações e premiações internacionais.</w:t>
            </w:r>
          </w:p>
        </w:tc>
      </w:tr>
    </w:tbl>
    <w:p w:rsidR="008F17BF" w:rsidRDefault="008F17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8F17B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Oficinas de Capacitação de Escritórios para o Mercado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Exterior – agenda 2018 e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hotsite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CRI-CAU/BR Nº 033/2018: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Solicitar a convocação do conselheiro Eduardo Pasquinelli para a Oficina de Capacitação dos Escritórios para o Mercado Exterior e</w:t>
            </w:r>
            <w:r>
              <w:rPr>
                <w:rFonts w:ascii="Times New Roman" w:hAnsi="Times New Roman"/>
                <w:sz w:val="22"/>
                <w:szCs w:val="22"/>
              </w:rPr>
              <w:t>m Brasília, no dia 6 de junho em Brasília, a partir das 9:00;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Indicar o centro de custos 2.01.01.003 - PROJETO - Promoção da Arquitetura e Urbanismo do Brasil no Exterior para as despesas com passagens, diárias e deslocamento.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Será realizada reunião com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representantes do CAU/DF para alinhar as demandas da Oficina.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Reiterar aos parceiros nas Oficinas que atualizem os materiais.</w:t>
            </w:r>
          </w:p>
          <w:p w:rsidR="008F17BF" w:rsidRDefault="00984E8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Solicitar exemplares do anuário do CAU para distribuição nas representações internacionais. </w:t>
            </w:r>
          </w:p>
        </w:tc>
      </w:tr>
    </w:tbl>
    <w:p w:rsidR="008F17BF" w:rsidRDefault="008F17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8F17B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Projeto “Open – escritórios abert</w:t>
            </w:r>
            <w:r>
              <w:rPr>
                <w:rFonts w:ascii="Times New Roman" w:hAnsi="Times New Roman"/>
                <w:sz w:val="22"/>
                <w:szCs w:val="22"/>
              </w:rPr>
              <w:t>os”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da CRI-CAU/BR -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Consiglio Nazionale Degli Architetti Pianificatori Paesaggisti e Conservatori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Conselho Nacional dos Arquitetos, Planejadores, Paisagistas e Conservadores (CNAPPC) da Itália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Aprofundar estudos sobre o programa. </w:t>
            </w:r>
          </w:p>
        </w:tc>
      </w:tr>
    </w:tbl>
    <w:p w:rsidR="008F17BF" w:rsidRDefault="008F17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8F17B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Semana de Design de Milão - Resultado da representação do setor de Arquitetura e Urbanismo no evento BE BRASIL promovido pela ApexBrasil 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CAU/SP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Solicitar à Apex um </w:t>
            </w:r>
            <w:r>
              <w:rPr>
                <w:rFonts w:ascii="Times New Roman" w:hAnsi="Times New Roman"/>
                <w:sz w:val="22"/>
                <w:szCs w:val="22"/>
              </w:rPr>
              <w:t>relatório da Semana de Design de Milão com dados sobre a abrangência, público alvo, etc.</w:t>
            </w:r>
          </w:p>
        </w:tc>
      </w:tr>
    </w:tbl>
    <w:p w:rsidR="008F17BF" w:rsidRDefault="008F17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8F17BF">
            <w:pPr>
              <w:numPr>
                <w:ilvl w:val="0"/>
                <w:numId w:val="1"/>
              </w:numPr>
              <w:ind w:hanging="36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r>
              <w:rPr>
                <w:rFonts w:ascii="Times New Roman" w:hAnsi="Times New Roman"/>
                <w:sz w:val="22"/>
                <w:szCs w:val="22"/>
              </w:rPr>
              <w:t xml:space="preserve">Proposta de moção contra a demolição da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Maison du Peuple de Clichy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Hélio Cavalcanti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Informe sobre a matéria,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já encaminhada durante a última reunião plenária.</w:t>
            </w:r>
          </w:p>
        </w:tc>
      </w:tr>
    </w:tbl>
    <w:p w:rsidR="008F17BF" w:rsidRDefault="008F17B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F17BF" w:rsidRDefault="00984E8E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8F17BF" w:rsidRDefault="008F17BF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8"/>
        <w:gridCol w:w="1984"/>
        <w:gridCol w:w="7081"/>
        <w:gridCol w:w="40"/>
      </w:tblGrid>
      <w:tr w:rsidR="008F17BF" w:rsidRPr="00984E8E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Global Architecture Billing Index (GABI)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AIA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Reconsiderar a posição da comissão, no sentido de fortalecer a parceria já estabelecida com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 AIA. Agendar reunião em junho para tratar dos projetos em desenvolvimento (RUDAT, GABI). 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17BF" w:rsidRDefault="008F17BF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8"/>
        <w:gridCol w:w="1984"/>
        <w:gridCol w:w="7081"/>
        <w:gridCol w:w="40"/>
      </w:tblGrid>
      <w:tr w:rsidR="008F17BF" w:rsidRPr="00984E8E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Architects Council of Europe (ACE)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Solicitar apoio do ACE para o desenvolvimento de um Plano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Nacional de Arquitetura e Urbanismo – visando a consolidação da legislação de matérias afins à profissão em todas as esferas governamentais. 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Contar com a experiência de consolidação dos Planos Nacionais dos países membros da União Europeia no âmbito do bl</w:t>
            </w:r>
            <w:r>
              <w:rPr>
                <w:rFonts w:ascii="Times New Roman" w:hAnsi="Times New Roman"/>
                <w:sz w:val="22"/>
                <w:szCs w:val="22"/>
              </w:rPr>
              <w:t>oco para uma análise de conjuntura nacional. Convidar o Conselho Europeu para um seminário no Brasil como subsídio para uma ação estratégica brasileira. Solicitar apoio das entidades do CEAU para todas as etapas do projeto, que seriam indicativamente: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sz w:val="22"/>
                <w:szCs w:val="22"/>
              </w:rPr>
              <w:t>iniciar debate sobre consolidação da legislação em vigor sobre a gestão do território;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convidar representantes de boas práticas no exterior; e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promover seminário com CEP, CPP e parceiros internacionais para a consolidação de material.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17BF" w:rsidRDefault="008F17BF">
      <w:pPr>
        <w:rPr>
          <w:rFonts w:ascii="Times New Roman" w:hAnsi="Times New Roman"/>
          <w:sz w:val="22"/>
          <w:szCs w:val="22"/>
        </w:rPr>
      </w:pPr>
    </w:p>
    <w:tbl>
      <w:tblPr>
        <w:tblW w:w="461.2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8"/>
        <w:gridCol w:w="1984"/>
        <w:gridCol w:w="7081"/>
        <w:gridCol w:w="51"/>
      </w:tblGrid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Congress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 UIA 2020 RIO – Mobilidade profissional em tempos de globalização – desafios e oportunidades</w:t>
            </w:r>
          </w:p>
        </w:tc>
        <w:tc>
          <w:tcPr>
            <w:tcW w:w="2.55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  <w:tc>
          <w:tcPr>
            <w:tcW w:w="2.55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  <w:tc>
          <w:tcPr>
            <w:tcW w:w="2.55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Tomar conhecimento do Convênio entre CAU/BR e o IAB;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Tomar conhecimento do Convênio entre o IAB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 a UIA;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Pautar para a próxima reunião da CRI a deliberação sobre o envio de ofício ao Comitê Organizador solicitando:</w:t>
            </w:r>
          </w:p>
          <w:p w:rsidR="008F17BF" w:rsidRDefault="00984E8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Espaço na UIA 2020 RIO para uma feira das organizações internacionais de representação profissional (estandes); </w:t>
            </w:r>
          </w:p>
          <w:p w:rsidR="008F17BF" w:rsidRDefault="00984E8E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Inclusão na agenda d</w:t>
            </w:r>
            <w:r>
              <w:rPr>
                <w:rFonts w:ascii="Times New Roman" w:hAnsi="Times New Roman"/>
                <w:sz w:val="22"/>
                <w:szCs w:val="22"/>
              </w:rPr>
              <w:t>o evento de uma mesa com o tema: “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mobilidade profissional em tempos de globalização – desafios e oportunidades</w:t>
            </w:r>
            <w:r>
              <w:rPr>
                <w:rFonts w:ascii="Times New Roman" w:hAnsi="Times New Roman"/>
                <w:sz w:val="22"/>
                <w:szCs w:val="22"/>
              </w:rPr>
              <w:t>”, mediada pelo CAU/BR e com a participação de nossos parceiros internacionais;</w:t>
            </w:r>
          </w:p>
          <w:p w:rsidR="008F17BF" w:rsidRDefault="00984E8E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Assento permanente nas reuniões do Comitê (se não estiver previsto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convênio).</w:t>
            </w:r>
          </w:p>
          <w:p w:rsidR="008F17BF" w:rsidRDefault="00984E8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5. Detalhar projeto, incluindo a ApexBrasil e o projeto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Built By Brazil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como possíveis parceiros governamentais.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Contatar os parceiros internacionais consultando sobre o interesse de participação no projeto. Propor uma agenda conjunta, in</w:t>
            </w:r>
            <w:r>
              <w:rPr>
                <w:rFonts w:ascii="Times New Roman" w:hAnsi="Times New Roman"/>
                <w:sz w:val="22"/>
                <w:szCs w:val="22"/>
              </w:rPr>
              <w:t>cluindo também na pauta a troca de experiências sobre a consolidação de seus planos nacionais de Arquitetura e Urbanismo.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7. Desenvolver o projeto em constante comunicação com o Comitê da UIA 2020 RIO. </w:t>
            </w:r>
          </w:p>
          <w:p w:rsidR="008F17BF" w:rsidRDefault="008F17B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F17BF" w:rsidRDefault="00984E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CRI-CAU/BR Nº 031/2018: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1- Solicitar a </w:t>
            </w:r>
            <w:r>
              <w:rPr>
                <w:rFonts w:ascii="Times New Roman" w:hAnsi="Times New Roman"/>
                <w:sz w:val="22"/>
                <w:szCs w:val="22"/>
              </w:rPr>
              <w:t>convocação do conselheiro Eduardo Pasquinelli para a reunião com o Comitê Executivo do 27º Congresso Mundial de Arquitetos UIA2020RIO no próximo dia 09 de maio, às 16h, no Rio de Janeiro.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2- Indicar o centro de custos 2.01.01.001 PROJETO – Representações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Internacionais para as despesas com passagens, di</w:t>
            </w:r>
            <w:r>
              <w:rPr>
                <w:rFonts w:ascii="Times New Roman" w:hAnsi="Times New Roman"/>
                <w:sz w:val="22"/>
                <w:szCs w:val="22"/>
              </w:rPr>
              <w:t>árias e deslocamento.</w:t>
            </w:r>
          </w:p>
        </w:tc>
        <w:tc>
          <w:tcPr>
            <w:tcW w:w="2.55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17BF" w:rsidRDefault="008F17BF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8"/>
        <w:gridCol w:w="1984"/>
        <w:gridCol w:w="7081"/>
        <w:gridCol w:w="40"/>
      </w:tblGrid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de coordenação no Ministério das Relações Exteriores (MRE)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CRI-CAU/BR Nº 030/2018: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1- Solicitar a convocação do coordenador da CRI-CAU/BR para a </w:t>
            </w:r>
            <w:r>
              <w:rPr>
                <w:rFonts w:ascii="Times New Roman" w:hAnsi="Times New Roman"/>
                <w:sz w:val="22"/>
                <w:szCs w:val="22"/>
              </w:rPr>
              <w:t>reunião de coordenação no MRE no dia 8 de maio;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 Indicar o centro de custos 2.01.01.003 - PROJETO - Promoção da Arquitetura e Urbanismo do Brasil no Exterior para as despesas com passagens, diárias e deslocamento.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17BF" w:rsidRDefault="008F17BF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8"/>
        <w:gridCol w:w="1984"/>
        <w:gridCol w:w="7081"/>
        <w:gridCol w:w="40"/>
      </w:tblGrid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MoU Colegio de Arquitectos de Per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u (CAP)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CAP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Perguntar se algum representante do CAP irá participar da Convenção do AIA.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17BF" w:rsidRDefault="008F17BF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8"/>
        <w:gridCol w:w="1984"/>
        <w:gridCol w:w="7081"/>
        <w:gridCol w:w="40"/>
      </w:tblGrid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Ordem Nacional dos Arquitectos da Guiné-Bissau (ONAGB)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ONAGB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0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Encaminhar ao gabinete solicitando manifestação sobre o interesse em firmar Acordo de Cooperação com a ONAGB, em caso afirmativo organizar agenda para a assinatura.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F17BF" w:rsidRDefault="008F17BF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8"/>
        <w:gridCol w:w="1984"/>
        <w:gridCol w:w="2511"/>
        <w:gridCol w:w="4570"/>
        <w:gridCol w:w="40"/>
      </w:tblGrid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54.0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Representações internacionais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0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ONAGB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0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5.40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0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F17BF" w:rsidRDefault="00984E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CRI-CAU/BR nº 034/2018:</w:t>
            </w:r>
          </w:p>
          <w:p w:rsidR="008F17BF" w:rsidRDefault="00984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Solicitar à Assessoria de Comunicação a elaboração de um material de apresentação institucional do CAU/BR para distribuição em representações internacionais, elaborado em língua inglesa, nos termos que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seguem: </w:t>
            </w:r>
          </w:p>
          <w:p w:rsidR="008F17BF" w:rsidRDefault="00984E8E">
            <w:pPr>
              <w:pStyle w:val="xmsonormal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Tiragem: 20.000 cópias. </w:t>
            </w:r>
          </w:p>
          <w:p w:rsidR="008F17BF" w:rsidRDefault="00984E8E">
            <w:pPr>
              <w:pStyle w:val="xmsonormal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color w:val="000000"/>
              </w:rPr>
              <w:t>Formato: folder a4 dobrado em 3 (frente e verso)</w:t>
            </w:r>
          </w:p>
          <w:p w:rsidR="008F17BF" w:rsidRDefault="00984E8E">
            <w:pPr>
              <w:pStyle w:val="xmsonormal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color w:val="000000"/>
              </w:rPr>
              <w:t xml:space="preserve">Impressão: Colorida em papel couchet </w:t>
            </w:r>
          </w:p>
          <w:p w:rsidR="008F17BF" w:rsidRDefault="00984E8E">
            <w:pPr>
              <w:pStyle w:val="xmsonormal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color w:val="000000"/>
              </w:rPr>
              <w:t>Prazo: 24 de maio (se possível em data anterior ao dia 16/05).</w:t>
            </w:r>
          </w:p>
        </w:tc>
        <w:tc>
          <w:tcPr>
            <w:tcW w:w="2pt" w:type="dxa"/>
            <w:shd w:val="clear" w:color="auto" w:fill="auto"/>
            <w:tcMar>
              <w:top w:w="0pt" w:type="dxa"/>
              <w:start w:w="0.50pt" w:type="dxa"/>
              <w:bottom w:w="0pt" w:type="dxa"/>
              <w:end w:w="0.5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230.15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F17BF" w:rsidRDefault="008F17BF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F17BF" w:rsidRDefault="008F1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17BF" w:rsidRDefault="008F1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17BF" w:rsidRDefault="00984E8E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FERNANDO MARCIO DE OLIVEIRA</w:t>
            </w:r>
          </w:p>
          <w:p w:rsidR="008F17BF" w:rsidRDefault="00984E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30.5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F17BF" w:rsidRDefault="008F1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17BF" w:rsidRDefault="008F1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17BF" w:rsidRDefault="008F1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17BF" w:rsidRDefault="00984E8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NADIA SOMEKH</w:t>
            </w:r>
          </w:p>
          <w:p w:rsidR="008F17BF" w:rsidRDefault="00984E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Coordenadora-adjunta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230.15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F17BF" w:rsidRDefault="008F17B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F17BF" w:rsidRDefault="008F17B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F17BF" w:rsidRDefault="008F17B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F17BF" w:rsidRDefault="00984E8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EDUARDO PASQUINELLI ROCIO</w:t>
            </w:r>
          </w:p>
          <w:p w:rsidR="008F17BF" w:rsidRDefault="00984E8E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5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F17BF" w:rsidRDefault="008F17B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F17BF" w:rsidRDefault="008F17B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F17BF" w:rsidRDefault="008F17B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F17BF" w:rsidRDefault="00984E8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8F17BF" w:rsidRDefault="00984E8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8F17BF">
        <w:tblPrEx>
          <w:tblCellMar>
            <w:top w:w="0pt" w:type="dxa"/>
            <w:bottom w:w="0pt" w:type="dxa"/>
          </w:tblCellMar>
        </w:tblPrEx>
        <w:tc>
          <w:tcPr>
            <w:tcW w:w="230.15pt" w:type="dxa"/>
            <w:gridSpan w:val="3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F17BF" w:rsidRDefault="008F1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17BF" w:rsidRDefault="008F1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17BF" w:rsidRDefault="008F1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17BF" w:rsidRDefault="00984E8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JEFERSON DANTAS NAVOLAR</w:t>
            </w:r>
          </w:p>
          <w:p w:rsidR="008F17BF" w:rsidRDefault="00984E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5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F17BF" w:rsidRDefault="008F1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17BF" w:rsidRDefault="008F1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17BF" w:rsidRDefault="008F17B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17BF" w:rsidRDefault="00984E8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ANA LATERZA</w:t>
            </w:r>
          </w:p>
          <w:p w:rsidR="008F17BF" w:rsidRDefault="00984E8E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Analista técnica</w:t>
            </w:r>
          </w:p>
        </w:tc>
      </w:tr>
    </w:tbl>
    <w:p w:rsidR="008F17BF" w:rsidRDefault="008F17BF"/>
    <w:sectPr w:rsidR="008F17BF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84E8E">
      <w:r>
        <w:separator/>
      </w:r>
    </w:p>
  </w:endnote>
  <w:endnote w:type="continuationSeparator" w:id="0">
    <w:p w:rsidR="00000000" w:rsidRDefault="0098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02505" w:rsidRDefault="00984E8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902505" w:rsidRDefault="00984E8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84E8E">
      <w:r>
        <w:rPr>
          <w:color w:val="000000"/>
        </w:rPr>
        <w:separator/>
      </w:r>
    </w:p>
  </w:footnote>
  <w:footnote w:type="continuationSeparator" w:id="0">
    <w:p w:rsidR="00000000" w:rsidRDefault="00984E8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02505" w:rsidRDefault="00984E8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2EB7EA6"/>
    <w:multiLevelType w:val="multilevel"/>
    <w:tmpl w:val="F9CCBADC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1DB02E2"/>
    <w:multiLevelType w:val="multilevel"/>
    <w:tmpl w:val="7A50EC92"/>
    <w:lvl w:ilvl="0">
      <w:start w:val="1"/>
      <w:numFmt w:val="lowerLetter"/>
      <w:lvlText w:val="%1)"/>
      <w:lvlJc w:val="start"/>
      <w:pPr>
        <w:ind w:start="38.90pt" w:hanging="18pt"/>
      </w:pPr>
    </w:lvl>
    <w:lvl w:ilvl="1">
      <w:start w:val="1"/>
      <w:numFmt w:val="lowerLetter"/>
      <w:lvlText w:val="%2."/>
      <w:lvlJc w:val="start"/>
      <w:pPr>
        <w:ind w:start="74.90pt" w:hanging="18pt"/>
      </w:pPr>
    </w:lvl>
    <w:lvl w:ilvl="2">
      <w:start w:val="1"/>
      <w:numFmt w:val="lowerRoman"/>
      <w:lvlText w:val="%3."/>
      <w:lvlJc w:val="end"/>
      <w:pPr>
        <w:ind w:start="110.90pt" w:hanging="9pt"/>
      </w:pPr>
    </w:lvl>
    <w:lvl w:ilvl="3">
      <w:start w:val="1"/>
      <w:numFmt w:val="decimal"/>
      <w:lvlText w:val="%4."/>
      <w:lvlJc w:val="start"/>
      <w:pPr>
        <w:ind w:start="146.90pt" w:hanging="18pt"/>
      </w:pPr>
    </w:lvl>
    <w:lvl w:ilvl="4">
      <w:start w:val="1"/>
      <w:numFmt w:val="lowerLetter"/>
      <w:lvlText w:val="%5."/>
      <w:lvlJc w:val="start"/>
      <w:pPr>
        <w:ind w:start="182.90pt" w:hanging="18pt"/>
      </w:pPr>
    </w:lvl>
    <w:lvl w:ilvl="5">
      <w:start w:val="1"/>
      <w:numFmt w:val="lowerRoman"/>
      <w:lvlText w:val="%6."/>
      <w:lvlJc w:val="end"/>
      <w:pPr>
        <w:ind w:start="218.90pt" w:hanging="9pt"/>
      </w:pPr>
    </w:lvl>
    <w:lvl w:ilvl="6">
      <w:start w:val="1"/>
      <w:numFmt w:val="decimal"/>
      <w:lvlText w:val="%7."/>
      <w:lvlJc w:val="start"/>
      <w:pPr>
        <w:ind w:start="254.90pt" w:hanging="18pt"/>
      </w:pPr>
    </w:lvl>
    <w:lvl w:ilvl="7">
      <w:start w:val="1"/>
      <w:numFmt w:val="lowerLetter"/>
      <w:lvlText w:val="%8."/>
      <w:lvlJc w:val="start"/>
      <w:pPr>
        <w:ind w:start="290.90pt" w:hanging="18pt"/>
      </w:pPr>
    </w:lvl>
    <w:lvl w:ilvl="8">
      <w:start w:val="1"/>
      <w:numFmt w:val="lowerRoman"/>
      <w:lvlText w:val="%9."/>
      <w:lvlJc w:val="end"/>
      <w:pPr>
        <w:ind w:start="326.90pt" w:hanging="9pt"/>
      </w:pPr>
    </w:lvl>
  </w:abstractNum>
  <w:abstractNum w:abstractNumId="2" w15:restartNumberingAfterBreak="0">
    <w:nsid w:val="4CCB56F9"/>
    <w:multiLevelType w:val="multilevel"/>
    <w:tmpl w:val="C2EEA56C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17BF"/>
    <w:rsid w:val="008F17BF"/>
    <w:rsid w:val="009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C2B4FF3-0D2A-455E-ADBF-D9C1EDC5C93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6pt"/>
    </w:pPr>
  </w:style>
  <w:style w:type="paragraph" w:customStyle="1" w:styleId="xmsonormal">
    <w:name w:val="x_msonormal"/>
    <w:basedOn w:val="Normal"/>
    <w:pPr>
      <w:suppressAutoHyphens w:val="0"/>
      <w:textAlignment w:val="auto"/>
    </w:pPr>
    <w:rPr>
      <w:rFonts w:ascii="Calibri" w:eastAsia="Calibri" w:hAnsi="Calibri"/>
      <w:sz w:val="22"/>
      <w:szCs w:val="22"/>
      <w:lang w:eastAsia="pt-BR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2365</Words>
  <Characters>12772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2019-08-08T13:41:00Z</dcterms:created>
  <dcterms:modified xsi:type="dcterms:W3CDTF">2019-08-08T13:41:00Z</dcterms:modified>
</cp:coreProperties>
</file>