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236B77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236B77" w:rsidRDefault="00083AA1">
            <w:pPr>
              <w:keepNext/>
              <w:spacing w:before="60" w:after="60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74ª REUNIÃO ORDINÁRIA CEF-CAU/BR</w:t>
            </w:r>
          </w:p>
        </w:tc>
      </w:tr>
    </w:tbl>
    <w:p w:rsidR="00236B77" w:rsidRDefault="00236B7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236B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36B77" w:rsidRDefault="00083AA1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36B77" w:rsidRDefault="00083AA1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agosto de 2018</w:t>
            </w:r>
            <w:bookmarkStart w:id="0" w:name="_GoBack"/>
            <w:bookmarkEnd w:id="0"/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36B77" w:rsidRDefault="00083AA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36B77" w:rsidRDefault="00083AA1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36B77" w:rsidRDefault="00083AA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36B77" w:rsidRDefault="00083AA1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agosto de 2018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36B77" w:rsidRDefault="00083AA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36B77" w:rsidRDefault="00083AA1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36B77" w:rsidRDefault="00083AA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36B77" w:rsidRDefault="00083AA1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DF</w:t>
            </w:r>
          </w:p>
        </w:tc>
      </w:tr>
    </w:tbl>
    <w:p w:rsidR="00236B77" w:rsidRDefault="00236B7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236B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Lúcia Vilella Arruda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236B7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Hélio Cavalcanti da Costa Lima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236B7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ind w:left="-108" w:firstLine="108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236B7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Alfredo Renato Pena Brana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236B7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Alice da Silva Rodrigues Rosas (PA)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77" w:rsidRDefault="00083AA1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Paul Gerhard Beyer Ehrat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77" w:rsidRDefault="00236B7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 Laterza</w:t>
            </w:r>
          </w:p>
        </w:tc>
      </w:tr>
    </w:tbl>
    <w:p w:rsidR="00236B77" w:rsidRDefault="00236B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36B77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73ª Reunião Ordinária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</w:tbl>
    <w:p w:rsidR="00236B77" w:rsidRDefault="00236B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36B77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Andrea Vilella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Comunicou a </w:t>
            </w:r>
            <w:r>
              <w:rPr>
                <w:rFonts w:ascii="Times New Roman" w:hAnsi="Times New Roman"/>
                <w:sz w:val="22"/>
                <w:szCs w:val="22"/>
              </w:rPr>
              <w:t>participação no Seminário de Ensino Realizado pelo CAU/RS, e a solicitação do CAU/RS de enviar a apresentação em texto para publicação.</w:t>
            </w:r>
          </w:p>
          <w:p w:rsidR="00236B77" w:rsidRDefault="00236B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Andrea Vilella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Comunicou que irá comparecer ao evento de discussão das DCNs em Aracaju,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que já existem propostas para a realização do mesmo evento em Minas Gerais, Paraná e Santa Catarina (CEF-Sul), e que irá verificar a disponibilidade dos UF que se dispuseram em Aracaju. A Comissão decidiu por manifestar apoio público a realização destes </w:t>
            </w:r>
            <w:r>
              <w:rPr>
                <w:rFonts w:ascii="Times New Roman" w:hAnsi="Times New Roman"/>
                <w:sz w:val="22"/>
                <w:szCs w:val="22"/>
              </w:rPr>
              <w:t>eventos.</w:t>
            </w:r>
          </w:p>
          <w:p w:rsidR="00236B77" w:rsidRDefault="00236B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6B77" w:rsidRDefault="00236B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36B77" w:rsidRDefault="00083AA1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236B77" w:rsidRDefault="00236B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SICCAU 377224/2016 Tempestividade do Protocolo de Reconhecimento de Cursos e SICCAU 363532/2016 Cadastramento de Cursos: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CAUs/UF, IES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pStyle w:val="PargrafodaLista"/>
              <w:numPr>
                <w:ilvl w:val="1"/>
                <w:numId w:val="1"/>
              </w:numPr>
              <w:jc w:val="both"/>
            </w:pPr>
            <w:r>
              <w:t xml:space="preserve">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Reunião com Assessoria Juridica para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esclarecimentos acerca de encaminhamentos para registro por tempestividade e registro de Diplomado no Exterior;</w:t>
            </w:r>
          </w:p>
          <w:p w:rsidR="00236B77" w:rsidRDefault="00083AA1">
            <w:pPr>
              <w:pStyle w:val="PargrafodaLista"/>
              <w:numPr>
                <w:ilvl w:val="1"/>
                <w:numId w:val="1"/>
              </w:num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 Análise e Revisão da Deliberação Padrão de encaminhamento de tempestividade;</w:t>
            </w:r>
          </w:p>
          <w:p w:rsidR="00236B77" w:rsidRDefault="00236B77">
            <w:pPr>
              <w:pStyle w:val="PargrafodaLista"/>
              <w:ind w:left="360"/>
              <w:jc w:val="both"/>
            </w:pPr>
          </w:p>
          <w:p w:rsidR="00236B77" w:rsidRDefault="00083AA1">
            <w:pPr>
              <w:pStyle w:val="PargrafodaLista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Assessoria Juridica prestou esclarecimento sobre 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consequências dos encaminhamentos quanto a tempestividade e registro. A Comissão colocou suas preocupações, e repassou para a AJ os documentos padrão para que possa analisar e sugerir encaminhamentos. A AJ irá apresentar na próxima reunião da CEF suas prop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ostas, para adequação de procedimentos.</w:t>
            </w:r>
          </w:p>
          <w:p w:rsidR="00236B77" w:rsidRDefault="00236B77">
            <w:pPr>
              <w:pStyle w:val="PargrafodaLista"/>
              <w:ind w:left="0"/>
              <w:jc w:val="both"/>
            </w:pPr>
          </w:p>
          <w:p w:rsidR="00236B77" w:rsidRDefault="00083AA1">
            <w:pPr>
              <w:pStyle w:val="PargrafodaLista"/>
              <w:numPr>
                <w:ilvl w:val="1"/>
                <w:numId w:val="1"/>
              </w:num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Análise de Cadastro de Cursos e Tempestividade;</w:t>
            </w:r>
          </w:p>
          <w:p w:rsidR="00236B77" w:rsidRDefault="00083AA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063/2018 – CEF-CAU/BR</w:t>
            </w:r>
          </w:p>
          <w:p w:rsidR="00236B77" w:rsidRDefault="00083AA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236B77" w:rsidRDefault="00083AA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que, conforme legislação vigente, somente poderão ser registrados os egressos de cursos de graduação em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Arquitetura e Urbanismo que tenham portaria de reconhecimento do curso publicada ou cálculo de tempestividade aprovado pela CEF-CAU/BR, e que estejam em dia com as renovações de reconhecimento;</w:t>
            </w:r>
          </w:p>
          <w:p w:rsidR="00236B77" w:rsidRDefault="00083AA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os resultados dos cálculos de tempestividade e orienta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ções sobre registro de egressos de cursos de Arquitetura e Urbanismo conforme tabela constante do Anexo I desta deliberação;</w:t>
            </w:r>
          </w:p>
          <w:p w:rsidR="00236B77" w:rsidRDefault="00083AA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conforme tabela constante do Anexo II desta deli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beração;</w:t>
            </w:r>
          </w:p>
          <w:p w:rsidR="00236B77" w:rsidRDefault="00083AA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236B77" w:rsidRDefault="00083AA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omada das seguintes providências: a) Informar a Presidência e Comissão de Ensino e Formação dos CAU/UF acerca do conteúdo desta deliberação.</w:t>
            </w:r>
          </w:p>
          <w:p w:rsidR="00236B77" w:rsidRDefault="00236B77">
            <w:pPr>
              <w:pStyle w:val="PargrafodaLista"/>
              <w:ind w:left="0"/>
              <w:jc w:val="both"/>
            </w:pPr>
          </w:p>
          <w:p w:rsidR="00236B77" w:rsidRDefault="00083AA1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Cursos Analisados*:</w:t>
            </w:r>
          </w:p>
          <w:tbl>
            <w:tblPr>
              <w:tblW w:w="45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1000"/>
              <w:gridCol w:w="2140"/>
              <w:gridCol w:w="1000"/>
            </w:tblGrid>
            <w:tr w:rsidR="00236B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36B77" w:rsidRDefault="00083AA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68101</w:t>
                  </w: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PRESIDENTE PRUDENTE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236B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36B77" w:rsidRDefault="00083AA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1298311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CHAPECÓ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236B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36B77" w:rsidRDefault="00083AA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1266142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RIO DO SUL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236B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36B77" w:rsidRDefault="00083AA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19460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TUBARÃO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236B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36B77" w:rsidRDefault="00083AA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5000428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ASSIS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236B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36B77" w:rsidRDefault="00083AA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1170808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FREDERICO WESTPHALEN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236B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36B77" w:rsidRDefault="00083AA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1258816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JOAO DA BOA VISTA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236B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36B77" w:rsidRDefault="00083AA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1190185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LONDRINA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PR</w:t>
                  </w:r>
                </w:p>
              </w:tc>
            </w:tr>
            <w:tr w:rsidR="00236B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36B77" w:rsidRDefault="00083AA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18374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UBERLANDIA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36B77" w:rsidRDefault="00083AA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MG</w:t>
                  </w:r>
                </w:p>
              </w:tc>
            </w:tr>
          </w:tbl>
          <w:p w:rsidR="00236B77" w:rsidRDefault="00083AA1">
            <w:pPr>
              <w:jc w:val="both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(* Verificar a deliberação mencionada para os resultados das análises.)</w:t>
            </w:r>
          </w:p>
          <w:p w:rsidR="00236B77" w:rsidRDefault="00236B77">
            <w:pPr>
              <w:pStyle w:val="PargrafodaLista"/>
              <w:ind w:left="0"/>
              <w:jc w:val="both"/>
            </w:pPr>
          </w:p>
          <w:p w:rsidR="00236B77" w:rsidRDefault="00083AA1">
            <w:pPr>
              <w:pStyle w:val="PargrafodaLista"/>
              <w:numPr>
                <w:ilvl w:val="1"/>
                <w:numId w:val="1"/>
              </w:num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Reanalise FACEX; </w:t>
            </w:r>
          </w:p>
          <w:p w:rsidR="00236B77" w:rsidRDefault="00083AA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065/2018 – CEF-CAU/BR</w:t>
            </w:r>
          </w:p>
          <w:p w:rsidR="00236B77" w:rsidRDefault="00083AA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236B77" w:rsidRDefault="00083AA1">
            <w:pPr>
              <w:numPr>
                <w:ilvl w:val="0"/>
                <w:numId w:val="3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Autorizar, diante da argumentação apresentada pela Reitoria da UNIFACEX, os CAU/UF a efetuar registro provisório dos egressos do curso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1204846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até que seja publicada portaria de reconhecimento do curso ou até manifestação da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Secretaria de Regulação do Ensino Superior – SERES-MEC;</w:t>
            </w:r>
          </w:p>
          <w:p w:rsidR="00236B77" w:rsidRDefault="00083AA1">
            <w:pPr>
              <w:numPr>
                <w:ilvl w:val="0"/>
                <w:numId w:val="3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os CAU/UF de que independente do disposto no item “1”, deverão ser atendidos os demais requisitos de registro vigentes, incluindo a contemplação de carga horária e tempo de integralização mí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nimos previstos pelo sistema de ensino nos históricos escolares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dos egressos;</w:t>
            </w:r>
          </w:p>
          <w:p w:rsidR="00236B77" w:rsidRDefault="00083AA1">
            <w:pPr>
              <w:numPr>
                <w:ilvl w:val="0"/>
                <w:numId w:val="3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solicitando a comunicação ao CAU/UF do conteúdo desta deliberação;</w:t>
            </w:r>
          </w:p>
          <w:p w:rsidR="00236B77" w:rsidRDefault="00236B77">
            <w:pPr>
              <w:pStyle w:val="PargrafodaLista"/>
              <w:ind w:left="0"/>
              <w:jc w:val="both"/>
            </w:pPr>
          </w:p>
          <w:p w:rsidR="00236B77" w:rsidRDefault="00083AA1">
            <w:pPr>
              <w:pStyle w:val="PargrafodaLista"/>
              <w:numPr>
                <w:ilvl w:val="1"/>
                <w:numId w:val="1"/>
              </w:num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 Envio de Oficio sobre irregularidades de 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ursos identificadas no eMEC as IES;</w:t>
            </w:r>
          </w:p>
          <w:p w:rsidR="00236B77" w:rsidRDefault="00083A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comissão solicitou tirar o item de pauta até verificação dos itens 1.1 e 1.2, para futuras providências. </w:t>
            </w:r>
          </w:p>
          <w:p w:rsidR="00236B77" w:rsidRDefault="00236B7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36B77" w:rsidRDefault="00083A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Assessoria deverá proceder levantamento de todos os cursos deliberados intempestivos nos anos de 2017 e 2018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 reanálise.</w:t>
            </w:r>
          </w:p>
          <w:p w:rsidR="00236B77" w:rsidRDefault="00236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6B77" w:rsidRDefault="00236B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 de Profissionais Diplomados em IES Estrangeira / IES Estrangeira via OA/PT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Conforme resultado das discussões com a CEF-CAU/RJ, a comissão analisou a possibilidade de alteração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Anexo II da Resolução 26/2012, de forma a adequar ao texto proposto na Deliberação 106/2017 CEF-CAU/BR. A Comissão entendeu por pertinente a alteração, para posterior campanha junto aos CAU/UF de modo que suas CEFs façam trabalho de esclarecimento junto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as IES aptas a revalidar diplomas no âmbito de sua jurisdição. Também foi sugerido o encaminhamento de que cada solicitação de registro de diplomado no exterior seja acompanhado desde o início por conselheiro relator. Como a questão demanda encaminhamento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 de alteração de resolução, solicitou que o processo fosse instruído para Deliberação na reunião seguinte, atendendo ao disposto na Resolução 104/2015. </w:t>
            </w:r>
          </w:p>
          <w:p w:rsidR="00236B77" w:rsidRDefault="00083A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AJ também esclareceu pontos sobre o aceite da revalidação do diploma, o que dá ainda mais importânci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a necessidade de campanha de esclarecimentos ampla entre os CAU/UF e IES.</w:t>
            </w:r>
          </w:p>
          <w:p w:rsidR="00236B77" w:rsidRDefault="00236B7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36B77" w:rsidRDefault="00083AA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066/2018 – CEF-CAU/BR</w:t>
            </w:r>
          </w:p>
          <w:p w:rsidR="00236B77" w:rsidRDefault="00083AA1">
            <w:pPr>
              <w:spacing w:before="24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236B77" w:rsidRDefault="00083AA1">
            <w:pPr>
              <w:numPr>
                <w:ilvl w:val="0"/>
                <w:numId w:val="4"/>
              </w:numPr>
              <w:jc w:val="both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Diligenciar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 requerimento de registro definitivo da profissional identificada a seguir, restituindo o respectivo processo ao CAU/RJ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complementação do processo com a tradução juramentada do diploma estrangeiro e o documento original com os conteúdo programáticos das disciplinas.</w:t>
            </w:r>
          </w:p>
          <w:p w:rsidR="00236B77" w:rsidRDefault="00083AA1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373246" cy="779141"/>
                  <wp:effectExtent l="0" t="0" r="8254" b="1909"/>
                  <wp:docPr id="4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246" cy="77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B77" w:rsidRDefault="00083AA1">
            <w:pPr>
              <w:numPr>
                <w:ilvl w:val="0"/>
                <w:numId w:val="4"/>
              </w:numPr>
              <w:jc w:val="both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Diligenciar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 requerimento de registro definitivo do profissional identificado a seguir, restituindo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respectivo processo ao CAU/CE para complementação do processo com os conteúdos programáticos dos componentes curriculares cursados, devidamente apostilados, e esclarecimentos sobre a aquisição das competências e habilidades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relacionadas aos conteúdos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conforto ambiental, topografia e informática aplicada à Arquitetura e Urbanismo.</w:t>
            </w:r>
          </w:p>
          <w:p w:rsidR="00236B77" w:rsidRDefault="00083AA1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413251" cy="810899"/>
                  <wp:effectExtent l="0" t="0" r="6349" b="8251"/>
                  <wp:docPr id="5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1" cy="81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B77" w:rsidRDefault="00236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6B77" w:rsidRDefault="00236B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Atribuição Profissional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indicados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3.1 - Protocolo SICCAU 635400/2018 -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entendimento do CAU/BR sobre fundações profundas, </w:t>
            </w:r>
            <w:r>
              <w:rPr>
                <w:rFonts w:ascii="Times New Roman" w:hAnsi="Times New Roman"/>
                <w:sz w:val="22"/>
                <w:szCs w:val="22"/>
              </w:rPr>
              <w:t>possibilitando aos arquitetos e urbanistas realizar todas as atividades necessárias à conclusão de seus serviços técnicos.</w:t>
            </w:r>
          </w:p>
          <w:p w:rsidR="00236B77" w:rsidRDefault="00083AA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Relator: Conselheiro Humberto Mauro Andrade Cruz</w:t>
            </w:r>
          </w:p>
          <w:p w:rsidR="00236B77" w:rsidRDefault="00236B7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6B77" w:rsidRDefault="00083AA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069/</w:t>
            </w:r>
            <w:r>
              <w:fldChar w:fldCharType="begin"/>
            </w:r>
            <w:r>
              <w:instrText xml:space="preserve"> MERGEFIELD ano1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CEF – CAU/BR</w:t>
            </w:r>
          </w:p>
          <w:p w:rsidR="00236B77" w:rsidRDefault="00083AA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236B77" w:rsidRDefault="00083AA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Aprovar 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Relatório e voto do </w:t>
            </w:r>
            <w:r>
              <w:rPr>
                <w:rFonts w:ascii="Times New Roman" w:hAnsi="Times New Roman"/>
                <w:sz w:val="22"/>
                <w:szCs w:val="22"/>
              </w:rPr>
              <w:t>Conselheiro Humberto Mauro Andrade Cruz, acompanhando o entendimento de:</w:t>
            </w:r>
          </w:p>
          <w:p w:rsidR="00236B77" w:rsidRDefault="00083AA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que embora haja claras interfaces técnico-científicas entre a Engenharia Civil e a Arquitetura, conforme demonstrado, e que a atuação profissional da Arquitetura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Urbanismo contemplem avaliação, projeto e execução de obra civil, avalia-se que o profissional de Arquitetura e Urbanismo não se encontra habilitado para o pleno exercício dos procedimentos e atividades referentes à atividade técnica de projeto e execu</w:t>
            </w:r>
            <w:r>
              <w:rPr>
                <w:rFonts w:ascii="Times New Roman" w:hAnsi="Times New Roman"/>
                <w:sz w:val="22"/>
                <w:szCs w:val="22"/>
              </w:rPr>
              <w:t>ção de fundações profundas;</w:t>
            </w:r>
          </w:p>
          <w:p w:rsidR="00236B77" w:rsidRDefault="00083AA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que as interfaces apontadas habilitam o profissional de Arquitetura e Urbanismo a compor equipes interdisciplinares, porém, sem atribuição para anotar responsabilidade técnica sobre a matéria em questão, com a abrangência solici</w:t>
            </w:r>
            <w:r>
              <w:rPr>
                <w:rFonts w:ascii="Times New Roman" w:hAnsi="Times New Roman"/>
                <w:sz w:val="22"/>
                <w:szCs w:val="22"/>
              </w:rPr>
              <w:t>tada, ressaltando-se a incompletude da formação e a necessidade de controle tecnológico e cálculo estrutural para execução de fundações profundas.</w:t>
            </w:r>
          </w:p>
          <w:p w:rsidR="00236B77" w:rsidRDefault="0008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2 - Encaminhar esta Deliberação e respectivo Relatório e Voto para a Secretaria Geral da Mesa SGM-CAU/BR para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restituição a Comissão de Exercício Profissional CEP-CAU/BR para as providências cabíveis.</w:t>
            </w:r>
          </w:p>
          <w:p w:rsidR="00236B77" w:rsidRDefault="00236B7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6B77" w:rsidRDefault="00083AA1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3.2 – Protocolo SICCAU 682940/2018 - Relator: Conselheiro Juliano Pamplona Ximenes Ponte - </w:t>
            </w:r>
            <w:r>
              <w:rPr>
                <w:rFonts w:ascii="Times New Roman" w:hAnsi="Times New Roman"/>
                <w:sz w:val="22"/>
                <w:szCs w:val="22"/>
              </w:rPr>
              <w:t>Retirado de pauta, ausência do relator na reunião.</w:t>
            </w:r>
          </w:p>
          <w:p w:rsidR="00236B77" w:rsidRDefault="00236B7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6B77" w:rsidRDefault="00083AA1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3.3 – Protocolo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SICCAU 672925/2018 - Relator: Conselheiro Juliano Pamplona Ximenes Ponte - </w:t>
            </w:r>
            <w:r>
              <w:rPr>
                <w:rFonts w:ascii="Times New Roman" w:hAnsi="Times New Roman"/>
                <w:sz w:val="22"/>
                <w:szCs w:val="22"/>
              </w:rPr>
              <w:t>Retirado de pauta, ausência do relator na reunião.</w:t>
            </w:r>
          </w:p>
          <w:p w:rsidR="00236B77" w:rsidRDefault="00236B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6B77" w:rsidRDefault="00236B77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Manifestações Técnicas ao MEC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Comissão entendeu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 prosseguimento dos trabalhos seria de grande importância se aprofundar no trabalho que vinha sendo realizado até o ano de 2017 pela ABEA, para tal, aproveitando reunião em São Paulo ref. ao Projeto de Acreditação para realizar reunião com a Arq. e Urb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 Tercia Oliveira, que foi coordenadora do processo no âmbito do convenio com a ABEA. Foi solicitado que a Assessoria enviasse comunicação ao CAU/SP para oficialização do pedido de convocação da Conselheira Tercia de Oliveira.</w:t>
            </w:r>
          </w:p>
          <w:p w:rsidR="00236B77" w:rsidRDefault="00236B7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236B77" w:rsidRDefault="00083AA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070/2018 – 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CEF-CAU/BR</w:t>
            </w:r>
          </w:p>
          <w:p w:rsidR="00236B77" w:rsidRDefault="00083AA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236B77" w:rsidRDefault="00083AA1">
            <w:pPr>
              <w:numPr>
                <w:ilvl w:val="0"/>
                <w:numId w:val="6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as seguintes convocações para Reunião Técnica da CEF-CAU/BR referente ao </w:t>
            </w:r>
            <w:r>
              <w:rPr>
                <w:rFonts w:ascii="Times New Roman" w:hAnsi="Times New Roman"/>
                <w:sz w:val="22"/>
                <w:szCs w:val="22"/>
              </w:rPr>
              <w:t>Projeto de Manifestações Técnicas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ser realizada na cidade de São Paulo, no dia 23 de agosto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 2018 das 9 às 18 horas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236B77" w:rsidRDefault="00083AA1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Vilella;</w:t>
            </w:r>
          </w:p>
          <w:p w:rsidR="00236B77" w:rsidRDefault="00083AA1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Lima;</w:t>
            </w:r>
          </w:p>
          <w:p w:rsidR="00236B77" w:rsidRDefault="00083AA1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Ponte;</w:t>
            </w:r>
          </w:p>
          <w:p w:rsidR="00236B77" w:rsidRDefault="00083AA1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Analista Paul Gerhard Beyer Ehrat.</w:t>
            </w:r>
          </w:p>
          <w:p w:rsidR="00236B77" w:rsidRDefault="00083AA1">
            <w:pPr>
              <w:numPr>
                <w:ilvl w:val="0"/>
                <w:numId w:val="6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o centro de custos 1.01.01.003 para a instrução das despesas (diária, sendo as demais despesas conforme Deliberação 068/2017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CEF-CAU/BR);</w:t>
            </w:r>
          </w:p>
          <w:p w:rsidR="00236B77" w:rsidRDefault="00083AA1">
            <w:pPr>
              <w:numPr>
                <w:ilvl w:val="0"/>
                <w:numId w:val="6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  <w:p w:rsidR="00236B77" w:rsidRDefault="00236B77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6B77" w:rsidRDefault="00236B77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Enquadramento Regulamentar das Atividades de Extensão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Diretor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Hélio Cavalcanti da Costa Lima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comunicou que o trabalho está em desenvolvimento. A Coordenação da SGM comunicou que existe proposta para criação de Comissão Temporária de Registro, que irá revisar seus normativos, e que o tema poderia ser discutido neste âmb</w:t>
            </w:r>
            <w:r>
              <w:rPr>
                <w:rFonts w:ascii="Times New Roman" w:hAnsi="Times New Roman"/>
                <w:sz w:val="22"/>
                <w:szCs w:val="22"/>
              </w:rPr>
              <w:t>ito uma vez que impacta também na questão de Registro de PJ.</w:t>
            </w:r>
          </w:p>
          <w:p w:rsidR="00236B77" w:rsidRDefault="00236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6B77" w:rsidRDefault="00236B77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Formação Continuada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 – CAU/BR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Hélio Cavalcanti da Costa Lima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discutiu que para continuidade dos estudos, o tema deveria ser incluído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como Projeto no Plano de Ação de 2019, ou então, dentro do âmbito do Instituto CAU, com sua efetiva operacionalização. Também discutiu-se que seria importante que esta ação fosse realizada em conjunto com as entidades do CEAU. Foram feitas algumas alteraç</w:t>
            </w:r>
            <w:r>
              <w:rPr>
                <w:rFonts w:ascii="Times New Roman" w:hAnsi="Times New Roman"/>
                <w:sz w:val="22"/>
                <w:szCs w:val="22"/>
              </w:rPr>
              <w:t>ões na proposta já existente, mas sem encaminhamentos até que seja oficializado no Plano de Ação de 2019.</w:t>
            </w:r>
          </w:p>
          <w:p w:rsidR="00236B77" w:rsidRDefault="00236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6B77" w:rsidRDefault="00236B77">
      <w:pPr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Publicação de Série de Notícias relativas ao Ensino de AU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Definição de temas, solicitar apoio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Assessoria de Comunicação e designar relator para o acompanhamento e revisão textual:</w:t>
            </w:r>
          </w:p>
          <w:p w:rsidR="00236B77" w:rsidRDefault="00083AA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Ensino, marco regulatório, Competências dos entes na regulação do ensino superior;</w:t>
            </w:r>
          </w:p>
          <w:p w:rsidR="00236B77" w:rsidRDefault="0008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Conselheira Andrea Vilella sugeriu que seu texto baseado na apresentação no semin</w:t>
            </w:r>
            <w:r>
              <w:rPr>
                <w:rFonts w:ascii="Times New Roman" w:hAnsi="Times New Roman"/>
                <w:sz w:val="22"/>
                <w:szCs w:val="22"/>
              </w:rPr>
              <w:t>ário no CAU/RS fosse utilizado como base para este tema.</w:t>
            </w:r>
          </w:p>
          <w:p w:rsidR="00236B77" w:rsidRDefault="00083AA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Acordo OAPT;</w:t>
            </w:r>
          </w:p>
          <w:p w:rsidR="00236B77" w:rsidRDefault="0008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Este tópico está sendo desenvolvido no âmbito da CRI.</w:t>
            </w:r>
          </w:p>
          <w:p w:rsidR="00236B77" w:rsidRDefault="00236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36B77" w:rsidRDefault="00083AA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Acreditação;</w:t>
            </w:r>
          </w:p>
          <w:p w:rsidR="00236B77" w:rsidRDefault="00083AA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Requisitos mínimos para cursos de graduação, manifesto pela qualidade: DCN, carga horária, tempo integralização;</w:t>
            </w:r>
          </w:p>
          <w:p w:rsidR="00236B77" w:rsidRDefault="00083AA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</w:t>
            </w:r>
            <w:r>
              <w:rPr>
                <w:rFonts w:ascii="Times New Roman" w:hAnsi="Times New Roman"/>
                <w:sz w:val="22"/>
                <w:szCs w:val="22"/>
              </w:rPr>
              <w:t>tro de diplomado no exterior;</w:t>
            </w:r>
          </w:p>
          <w:p w:rsidR="00236B77" w:rsidRDefault="00083AA1">
            <w:pPr>
              <w:numPr>
                <w:ilvl w:val="0"/>
                <w:numId w:val="8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Cadastro de IES, necessidade de RRT nas atividades de ensino.</w:t>
            </w:r>
          </w:p>
          <w:p w:rsidR="00236B77" w:rsidRDefault="00236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36B77" w:rsidRDefault="00083AA1">
            <w:r>
              <w:rPr>
                <w:rFonts w:ascii="Times New Roman" w:hAnsi="Times New Roman"/>
                <w:b/>
                <w:sz w:val="22"/>
                <w:szCs w:val="22"/>
              </w:rPr>
              <w:t>FAQ da RIA</w:t>
            </w:r>
          </w:p>
          <w:p w:rsidR="00236B77" w:rsidRDefault="0008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Assessoria da CEF comunicou e apresentou o desenvolvimento de parecer no sentido de subsidiar esta demanda e informar aos CAU/UF sobre os temas relaci</w:t>
            </w:r>
            <w:r>
              <w:rPr>
                <w:rFonts w:ascii="Times New Roman" w:hAnsi="Times New Roman"/>
                <w:sz w:val="22"/>
                <w:szCs w:val="22"/>
              </w:rPr>
              <w:t>onados ao ensino de AU.</w:t>
            </w:r>
          </w:p>
          <w:p w:rsidR="00236B77" w:rsidRDefault="00236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6B77" w:rsidRDefault="00236B77">
      <w:pPr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 Piloto de Acreditação de Cursos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067/2018 – CEF-CAU/BR</w:t>
            </w:r>
          </w:p>
          <w:p w:rsidR="00236B77" w:rsidRDefault="00083AA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236B77" w:rsidRDefault="00083AA1">
            <w:pPr>
              <w:numPr>
                <w:ilvl w:val="0"/>
                <w:numId w:val="9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o Plano de Trabalho para Instrumentalização do Projeto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Acreditação de Cursos do CAU/BR anexo a esta deliberação; </w:t>
            </w:r>
          </w:p>
          <w:p w:rsidR="00236B77" w:rsidRDefault="00083AA1">
            <w:pPr>
              <w:numPr>
                <w:ilvl w:val="0"/>
                <w:numId w:val="9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Designar a Conselheira Andrea Vilella e os Conselheiro Hélio Cavalcanti da Costa Lima e Juliano Pamplona Ximenes Ponte como relatores do tema, a serem convocados para as Reuniões Técnicas do projet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conforme Plano de Trabalho;</w:t>
            </w:r>
          </w:p>
          <w:p w:rsidR="00236B77" w:rsidRDefault="00083AA1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as convocações de convidados para as Reuniões Técnicas serão aprovadas por meio de deliberação específica;</w:t>
            </w:r>
          </w:p>
          <w:p w:rsidR="00236B77" w:rsidRDefault="00083AA1">
            <w:pPr>
              <w:numPr>
                <w:ilvl w:val="0"/>
                <w:numId w:val="9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a execução dos recursos destinados ao Projeto de Acreditação de Cursos, centro de custos 1.01.01.005, con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forme previstos no Plano de Ação da Comissão de Ensino e Formação;</w:t>
            </w:r>
          </w:p>
          <w:p w:rsidR="00236B77" w:rsidRDefault="00083AA1">
            <w:pPr>
              <w:numPr>
                <w:ilvl w:val="0"/>
                <w:numId w:val="9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Secretaria Geral da Mesa a participação do analista da Comissão de Ensino e Formação nas reuniões do projeto, conforme Plano de Trabalho aprovado e quanto requisitado pelos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relatores;</w:t>
            </w:r>
          </w:p>
          <w:p w:rsidR="00236B77" w:rsidRDefault="00083AA1">
            <w:pPr>
              <w:numPr>
                <w:ilvl w:val="0"/>
                <w:numId w:val="9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  <w:p w:rsidR="00236B77" w:rsidRDefault="00236B7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36B77" w:rsidRDefault="00083AA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068/2018 – CEF-CAU/BR</w:t>
            </w:r>
          </w:p>
          <w:p w:rsidR="00236B77" w:rsidRDefault="00083AA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236B77" w:rsidRDefault="00236B7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36B77" w:rsidRDefault="00083AA1">
            <w:pPr>
              <w:numPr>
                <w:ilvl w:val="0"/>
                <w:numId w:val="10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seguintes convocações para Reunião Técnica da CEF-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CAU/BR referente ao Projeto de Acreditação de cursos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ser realizada na cidade de São Paulo, no dia 24 de agosto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 2018, das 9 às 18 horas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236B77" w:rsidRDefault="00083AA1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Vilella;</w:t>
            </w:r>
          </w:p>
          <w:p w:rsidR="00236B77" w:rsidRDefault="00083AA1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Lima;</w:t>
            </w:r>
          </w:p>
          <w:p w:rsidR="00236B77" w:rsidRDefault="00083AA1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Ponte;</w:t>
            </w:r>
          </w:p>
          <w:p w:rsidR="00236B77" w:rsidRDefault="00083AA1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Analista Paul Gerhard Beyer Ehrat.</w:t>
            </w:r>
          </w:p>
          <w:p w:rsidR="00236B77" w:rsidRDefault="00083AA1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o cent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 de custos 1.01.01.005 para a instrução das despesas (passagem, deslocamento e diária)</w:t>
            </w:r>
          </w:p>
          <w:p w:rsidR="00236B77" w:rsidRDefault="00083AA1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  <w:p w:rsidR="00236B77" w:rsidRDefault="00236B7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36B77" w:rsidRDefault="00083A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Além destes encaminhamentos, foi solicitado o compartilhamento de info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rmações do Projeto entre os Membros, bem como, a instrução de TPCD para consultoria para elaboração dos instrumentos, a ser pautado para análise na próxima reunião.</w:t>
            </w:r>
          </w:p>
          <w:p w:rsidR="00236B77" w:rsidRDefault="00236B7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236B77" w:rsidRDefault="00236B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36B77" w:rsidRDefault="00083AA1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236B77" w:rsidRDefault="00236B77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Diretrizes para discussão das Diretrizes Curriculares Nacionais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preparativo para evento em Aracajú.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Comissão analisou as DCNs aprovadas em 2017, sobretudo a de Farmácia, que traz alguns avanços importantes em relação ao texto da DCN vigente de AU.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Foram pautados itens para discussão em Aracaju, inclusive, a inclusão das atividades de extensão em ATHIS como obrigatórias. A Coordenadora da Comissão irá fazer contato com a representante do CFF no Fórum de Ensino dos Conselhos de Profissões Regulamenta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das buscando maiores informações sobre a aprovação da DCN de Farmácia.</w:t>
            </w:r>
          </w:p>
          <w:p w:rsidR="00236B77" w:rsidRDefault="00236B77">
            <w:pPr>
              <w:jc w:val="both"/>
            </w:pPr>
          </w:p>
          <w:p w:rsidR="00236B77" w:rsidRDefault="00083AA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064/2018 – CEF-CAU/BR</w:t>
            </w:r>
          </w:p>
          <w:p w:rsidR="00236B77" w:rsidRDefault="00083AA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236B77" w:rsidRDefault="00083AA1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Manifestar o apoio da CEF-CAU/BR a realização do evento promovido pelo CAU/SE em conjunto com a ABEA, fomentando os demais CAU/UF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conhecer o resultado das discussões e darem continuidade a discussão das DCNs dos Cursos de Arquitetura e Urbanismo no âmbito local, encaminhando os resultados para a CEF-CAU/BR que por sua os compartilhará com a ABEA; </w:t>
            </w:r>
          </w:p>
          <w:p w:rsidR="00236B77" w:rsidRDefault="00083AA1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do CAU/BR para conhecimento e: a) solicitar apoio às iniciativas manifestadas pelos CAU/UF na discussão das DCNs; b) solicitar apoio da assessoria de comunicação na divulgação dos eventos promovidos pelos CAU/UF.</w:t>
            </w:r>
          </w:p>
          <w:p w:rsidR="00236B77" w:rsidRDefault="00236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6B77" w:rsidRDefault="00236B77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 513/2015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e </w:t>
            </w:r>
            <w:r>
              <w:rPr>
                <w:rFonts w:ascii="Times New Roman" w:hAnsi="Times New Roman"/>
                <w:sz w:val="22"/>
                <w:szCs w:val="22"/>
              </w:rPr>
              <w:t>AIP CAU/BR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77" w:rsidRDefault="00083AA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Comissão discutiu novamente o texto do PL. A presidência informou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possível alteração ao texto, tornando a questão opcional, e não obrigatória, fato que a comissão entendeu como positivo.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Na sequência a Comissão manifestou seu posicionamento a este e outros projetos diretamente no portal de manifestação da AIP do CAU/BR. </w:t>
            </w:r>
          </w:p>
          <w:p w:rsidR="00236B77" w:rsidRDefault="00236B77">
            <w:pPr>
              <w:jc w:val="both"/>
            </w:pPr>
          </w:p>
        </w:tc>
      </w:tr>
    </w:tbl>
    <w:p w:rsidR="00236B77" w:rsidRDefault="00236B77">
      <w:pPr>
        <w:rPr>
          <w:rFonts w:ascii="Times New Roman" w:hAnsi="Times New Roman"/>
          <w:sz w:val="22"/>
          <w:szCs w:val="22"/>
        </w:rPr>
      </w:pPr>
    </w:p>
    <w:p w:rsidR="00236B77" w:rsidRDefault="00236B77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236B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77" w:rsidRDefault="00236B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6B77" w:rsidRDefault="00236B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6B77" w:rsidRDefault="00236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6B77" w:rsidRDefault="00083AA1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LÚCIA VILELLA ARRUDA</w:t>
            </w:r>
          </w:p>
          <w:p w:rsidR="00236B77" w:rsidRDefault="00083AA1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77" w:rsidRDefault="00236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6B77" w:rsidRDefault="00236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6B77" w:rsidRDefault="00236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6B77" w:rsidRDefault="00083AA1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:rsidR="00236B77" w:rsidRDefault="00083AA1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77" w:rsidRDefault="00236B7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36B77" w:rsidRDefault="00236B7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36B77" w:rsidRDefault="00236B7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36B77" w:rsidRDefault="00083AA1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HUMBERTO MAURO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ANDRADE CRUZ</w:t>
            </w:r>
          </w:p>
          <w:p w:rsidR="00236B77" w:rsidRDefault="00083AA1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77" w:rsidRDefault="00236B7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36B77" w:rsidRDefault="00236B7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36B77" w:rsidRDefault="00236B7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36B77" w:rsidRDefault="00083AA1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  <w:p w:rsidR="00236B77" w:rsidRDefault="00083AA1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77" w:rsidRDefault="00236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6B77" w:rsidRDefault="00236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6B77" w:rsidRDefault="00236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6B77" w:rsidRDefault="00083AA1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ALICE DA SILVA RODRIGUES ROSAS</w:t>
            </w:r>
          </w:p>
          <w:p w:rsidR="00236B77" w:rsidRDefault="00083AA1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77" w:rsidRDefault="00236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6B77" w:rsidRDefault="00236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6B77" w:rsidRDefault="00236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6B77" w:rsidRDefault="00083AA1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 GERHARD BEYER EHRAT</w:t>
            </w:r>
          </w:p>
          <w:p w:rsidR="00236B77" w:rsidRDefault="00083A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236B77" w:rsidRDefault="00236B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236B77" w:rsidRDefault="00236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6B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77" w:rsidRDefault="00236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6B77" w:rsidRDefault="00083AA1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ANA LATERZA</w:t>
            </w:r>
          </w:p>
          <w:p w:rsidR="00236B77" w:rsidRDefault="00083A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236B77" w:rsidRDefault="00236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6B77" w:rsidRDefault="00236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77" w:rsidRDefault="00236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6B77" w:rsidRDefault="00236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6B77" w:rsidRDefault="00236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6B77" w:rsidRDefault="00236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6B77" w:rsidRDefault="00236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6B77" w:rsidRDefault="00236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6B77" w:rsidRDefault="00236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000" w:rsidRDefault="00083AA1">
      <w:pPr>
        <w:sectPr w:rsidR="00000000">
          <w:headerReference w:type="default" r:id="rId10"/>
          <w:footerReference w:type="default" r:id="rId11"/>
          <w:pgSz w:w="11900" w:h="16840"/>
          <w:pgMar w:top="1985" w:right="1268" w:bottom="1559" w:left="1559" w:header="1327" w:footer="584" w:gutter="0"/>
          <w:cols w:space="720"/>
        </w:sectPr>
      </w:pPr>
    </w:p>
    <w:p w:rsidR="00236B77" w:rsidRDefault="00236B77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236B77">
      <w:type w:val="continuous"/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3AA1">
      <w:r>
        <w:separator/>
      </w:r>
    </w:p>
  </w:endnote>
  <w:endnote w:type="continuationSeparator" w:id="0">
    <w:p w:rsidR="00000000" w:rsidRDefault="0008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B6" w:rsidRDefault="00083AA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A76B6" w:rsidRDefault="00083AA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FA76B6" w:rsidRDefault="00083AA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3AA1">
      <w:r>
        <w:rPr>
          <w:color w:val="000000"/>
        </w:rPr>
        <w:separator/>
      </w:r>
    </w:p>
  </w:footnote>
  <w:footnote w:type="continuationSeparator" w:id="0">
    <w:p w:rsidR="00000000" w:rsidRDefault="0008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B6" w:rsidRDefault="00083AA1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2C2"/>
    <w:multiLevelType w:val="multilevel"/>
    <w:tmpl w:val="0F2ED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3DFF"/>
    <w:multiLevelType w:val="multilevel"/>
    <w:tmpl w:val="5ED8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87E62"/>
    <w:multiLevelType w:val="multilevel"/>
    <w:tmpl w:val="B1CECC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85AFF"/>
    <w:multiLevelType w:val="multilevel"/>
    <w:tmpl w:val="778235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38D58CC"/>
    <w:multiLevelType w:val="multilevel"/>
    <w:tmpl w:val="9EE684E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F3612"/>
    <w:multiLevelType w:val="multilevel"/>
    <w:tmpl w:val="189C8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755F31"/>
    <w:multiLevelType w:val="multilevel"/>
    <w:tmpl w:val="28ACD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5265303"/>
    <w:multiLevelType w:val="multilevel"/>
    <w:tmpl w:val="C99AC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A9F2FAB"/>
    <w:multiLevelType w:val="multilevel"/>
    <w:tmpl w:val="D31EB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D1BF9"/>
    <w:multiLevelType w:val="multilevel"/>
    <w:tmpl w:val="99083F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563A28"/>
    <w:multiLevelType w:val="multilevel"/>
    <w:tmpl w:val="AFE6A7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7C5348F7"/>
    <w:multiLevelType w:val="multilevel"/>
    <w:tmpl w:val="ED6AB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6B77"/>
    <w:rsid w:val="00083AA1"/>
    <w:rsid w:val="0023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2402</Words>
  <Characters>12972</Characters>
  <Application>Microsoft Office Word</Application>
  <DocSecurity>0</DocSecurity>
  <Lines>108</Lines>
  <Paragraphs>30</Paragraphs>
  <ScaleCrop>false</ScaleCrop>
  <Company>Hewlett-Packard Company</Company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2019-07-18T19:38:00Z</dcterms:created>
  <dcterms:modified xsi:type="dcterms:W3CDTF">2019-07-18T19:38:00Z</dcterms:modified>
</cp:coreProperties>
</file>