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B27477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27477" w:rsidRDefault="00F3097A">
            <w:pPr>
              <w:keepNext/>
              <w:spacing w:before="60" w:after="60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70ª REUNIÃO ORDINÁRIA CEF-CAU/BR</w:t>
            </w:r>
          </w:p>
        </w:tc>
      </w:tr>
    </w:tbl>
    <w:p w:rsidR="00B27477" w:rsidRDefault="00B2747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B274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B27477" w:rsidRDefault="00F3097A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B27477" w:rsidRDefault="00F3097A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abril de 2018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B27477" w:rsidRDefault="00F3097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B27477" w:rsidRDefault="00F3097A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09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h00min às 18h00min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B27477" w:rsidRDefault="00F3097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B27477" w:rsidRDefault="00F3097A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abril de 2018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B27477" w:rsidRDefault="00F3097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B27477" w:rsidRDefault="00F3097A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09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h00min às 18h00min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B27477" w:rsidRDefault="00F3097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B27477" w:rsidRDefault="00F3097A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DF</w:t>
            </w:r>
          </w:p>
        </w:tc>
      </w:tr>
    </w:tbl>
    <w:p w:rsidR="00B27477" w:rsidRDefault="00B2747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B274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Lucia Vilella Arruda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B2747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Hélio Cavalcanti da Costa Lima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B2747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ind w:left="-108" w:firstLine="108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Humberto Mauro Andrade Cruz (AP)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B2747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Joselia da Silva Alves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B2747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Juliano Pamplona Ximenes Ponte (PA)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B2747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Roseana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Almeida Vasconcelos (RO)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77" w:rsidRDefault="00F3097A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Paul Gerhard Beyer Ehrat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77" w:rsidRDefault="00B2747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 Laterza</w:t>
            </w:r>
          </w:p>
        </w:tc>
      </w:tr>
    </w:tbl>
    <w:p w:rsidR="00B27477" w:rsidRDefault="00B274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69ª Reunião Ordinária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21ª Reunião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Extraordinária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</w:tbl>
    <w:p w:rsidR="00B27477" w:rsidRDefault="00B274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Convite ABEA evento Rio de Janeiro</w:t>
            </w:r>
          </w:p>
          <w:p w:rsidR="00B27477" w:rsidRDefault="00F30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comunicou que rejeitou o convite por falta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disponibilidade, justificando que que houve representação da CEF/BR em janeiro último no Rio de Janeiro, de forma a poder atender e priorizar o atendimento a convites também em outras localidades.  </w:t>
            </w:r>
          </w:p>
        </w:tc>
      </w:tr>
    </w:tbl>
    <w:p w:rsidR="00B27477" w:rsidRDefault="00B274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Audi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ência com o Conselheiro Luiz Roberto Liza Curi – CNE</w:t>
            </w:r>
          </w:p>
          <w:p w:rsidR="00B27477" w:rsidRDefault="00F3097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comunicou o comparecimento a Audiência agendada com o conselheiro Luiz Roberto Liza Curi, no CNE. O CAU/BR foi representado pelo Arq. e Urb. Guivaldo D´Alexandria Baptista – Presidente do </w:t>
            </w:r>
            <w:r>
              <w:rPr>
                <w:rFonts w:ascii="Times New Roman" w:hAnsi="Times New Roman"/>
                <w:sz w:val="22"/>
                <w:szCs w:val="22"/>
              </w:rPr>
              <w:t>CAU/BR, Arq. e Urb. Andrea Vilella – Conselheira Coordenadora da Comissão de Ensino e Formação do CAU/BR, Arq. e Urb. Hélio Cavalcanti – Conselheiro Coordenador-adjunto da Comissão de Ensino e Formação do CAU/BR, Arq. e Urb. João Correia – Presidente da As</w:t>
            </w:r>
            <w:r>
              <w:rPr>
                <w:rFonts w:ascii="Times New Roman" w:hAnsi="Times New Roman"/>
                <w:sz w:val="22"/>
                <w:szCs w:val="22"/>
              </w:rPr>
              <w:t>sociação Brasileira de Ensino de Arquitetura e Urbanismo e conselheiro suplente da Comissão de Ensino e Formação do CAU/BR, Arq. e Urb Paul Beyer – Assessor da Comissão de Ensino e Formação do CAU/BR e pelo Sr. Leonardo Echeverria – Coordenadora da Assesso</w:t>
            </w:r>
            <w:r>
              <w:rPr>
                <w:rFonts w:ascii="Times New Roman" w:hAnsi="Times New Roman"/>
                <w:sz w:val="22"/>
                <w:szCs w:val="22"/>
              </w:rPr>
              <w:t>ria de Comunicação do CAU/BR.</w:t>
            </w:r>
          </w:p>
          <w:p w:rsidR="00B27477" w:rsidRDefault="00F30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reunião no CNE ocorreu na quarta feira 11/04, as 18 horas e objetivou consulta acerca do andamento do processo de revisão das Diretrizes Curriculares Nacionais para os cursos de AU, vigentes desde 2010, que foram aprovadas n</w:t>
            </w:r>
            <w:r>
              <w:rPr>
                <w:rFonts w:ascii="Times New Roman" w:hAnsi="Times New Roman"/>
                <w:sz w:val="22"/>
                <w:szCs w:val="22"/>
              </w:rPr>
              <w:t>a 30ª Plenária do CAU em 2014, bem como a manifestação do CAU quanto a preocupações relativas ao Ensino a Distância, a crescente abertura de cursos e vagas e a restrição da manifestação dos conselhos quanto ao reconhecimento de cursos.</w:t>
            </w:r>
          </w:p>
          <w:p w:rsidR="00B27477" w:rsidRDefault="00F30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agendada reunião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apresentação da revisão das propostas do CAU à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DCN para o dia 07 de maio de 2018, as 14 horas.</w:t>
            </w:r>
          </w:p>
          <w:p w:rsidR="00B27477" w:rsidRDefault="00F3097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tomar conhecimento, e julgando o prazo curto para a compilação de material, a CEF-CAU/BR optou por solicitar a Assessoria da Comissão o reagendamento </w:t>
            </w:r>
            <w:r>
              <w:rPr>
                <w:rFonts w:ascii="Times New Roman" w:hAnsi="Times New Roman"/>
                <w:sz w:val="22"/>
                <w:szCs w:val="22"/>
              </w:rPr>
              <w:t>da reunião mencionada para o mês de junho de 2018.</w:t>
            </w:r>
          </w:p>
        </w:tc>
      </w:tr>
    </w:tbl>
    <w:p w:rsidR="00B27477" w:rsidRDefault="00B274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de Participação no Fórum de Presidentes em São Paulo – complementação</w:t>
            </w:r>
          </w:p>
          <w:p w:rsidR="00B27477" w:rsidRDefault="00F30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prestou esclarecimentos adicionais acerca do Projeto de </w:t>
            </w:r>
            <w:r>
              <w:rPr>
                <w:rFonts w:ascii="Times New Roman" w:hAnsi="Times New Roman"/>
                <w:sz w:val="22"/>
                <w:szCs w:val="22"/>
              </w:rPr>
              <w:t>Acreditação de Cursos do CAU/BR e sua receptividade no fórum de Presidentes, onde esclareceu que em momento oportuno os CAU/UF serão convidados a contribuir e se manifestar, sendo que está em estudo a possibilidade de convênios de cooperação para a execuçã</w:t>
            </w:r>
            <w:r>
              <w:rPr>
                <w:rFonts w:ascii="Times New Roman" w:hAnsi="Times New Roman"/>
                <w:sz w:val="22"/>
                <w:szCs w:val="22"/>
              </w:rPr>
              <w:t>o do Projeto Piloto.</w:t>
            </w:r>
          </w:p>
        </w:tc>
      </w:tr>
    </w:tbl>
    <w:p w:rsidR="00B27477" w:rsidRDefault="00B274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AIP - Assessoria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Ministério de Trabalho sobre a Classificação Brasileira de Ocupações</w:t>
            </w:r>
          </w:p>
          <w:p w:rsidR="00B27477" w:rsidRDefault="00F3097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prestou esclarecimento sobre a questão, e foi designado o Conselheiro Juliano Pamplona Ximenes Ponte, </w:t>
            </w:r>
            <w:r>
              <w:rPr>
                <w:rFonts w:ascii="Times New Roman" w:hAnsi="Times New Roman"/>
                <w:sz w:val="22"/>
                <w:szCs w:val="22"/>
              </w:rPr>
              <w:t>como representante da CEF a disposição da AIP e Presidência.</w:t>
            </w:r>
          </w:p>
        </w:tc>
      </w:tr>
    </w:tbl>
    <w:p w:rsidR="00B27477" w:rsidRDefault="00B274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CAU/MA – Assessoria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Situação Registro de profissionais via Acordo OAPT no Maranhão (621711/2017)</w:t>
            </w:r>
          </w:p>
          <w:p w:rsidR="00B27477" w:rsidRDefault="00F3097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tomou conhecimento das providências do CAU/MA acerca do </w:t>
            </w:r>
            <w:r>
              <w:rPr>
                <w:rFonts w:ascii="Times New Roman" w:hAnsi="Times New Roman"/>
                <w:sz w:val="22"/>
                <w:szCs w:val="22"/>
              </w:rPr>
              <w:t>assunto, entendendo como atendido, orientando o arquivamento do protocolo.</w:t>
            </w:r>
          </w:p>
        </w:tc>
      </w:tr>
    </w:tbl>
    <w:p w:rsidR="00B27477" w:rsidRDefault="00B274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CAU/DF - Conselheira Andrea Vilella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Convite CAU/DF para participar reunião CEAU/DF</w:t>
            </w:r>
          </w:p>
          <w:p w:rsidR="00B27477" w:rsidRDefault="00F30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comunicou o convite recebido, justificando a ausência </w:t>
            </w:r>
            <w:r>
              <w:rPr>
                <w:rFonts w:ascii="Times New Roman" w:hAnsi="Times New Roman"/>
                <w:sz w:val="22"/>
                <w:szCs w:val="22"/>
              </w:rPr>
              <w:t>entre 11h30 e 14:30h no dia 12/04/2018, para atender o convite e tomar conhecimento da proposta do CEAU-CAU/DF para Seminário sobre Ensino e Formação.</w:t>
            </w:r>
          </w:p>
        </w:tc>
      </w:tr>
    </w:tbl>
    <w:p w:rsidR="00B27477" w:rsidRDefault="00B274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B27477" w:rsidRDefault="00F3097A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B27477" w:rsidRDefault="00B274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SICCAU 377224/2016 Reconhecimento de Curso por Tempestividade e SICCAU 363532/2016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Cadastramento de Cursos.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CAUs/UF, IES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SICCAU 377224/2016 Reconhecimento de Curso por Tempestividade e SICCAU 363532/2016 Cadastramento de Cursos.</w:t>
            </w:r>
          </w:p>
          <w:p w:rsidR="00B27477" w:rsidRDefault="00F3097A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029/2018 – CEF-CAU/BR</w:t>
            </w:r>
          </w:p>
          <w:p w:rsidR="00B27477" w:rsidRDefault="00F3097A">
            <w:pPr>
              <w:numPr>
                <w:ilvl w:val="0"/>
                <w:numId w:val="2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Reiterar que somente poderão ser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registrados os egressos de cursos de graduação em Arquitetura e Urbanismo que tenham portaria de reconh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cimento do curso publicada ou cálculo de tempestividade aprovado pela CEF-CAU/BR, e que estejam em dia com as renovações de reconhec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mento;</w:t>
            </w:r>
          </w:p>
          <w:p w:rsidR="00B27477" w:rsidRDefault="00F3097A">
            <w:pPr>
              <w:numPr>
                <w:ilvl w:val="0"/>
                <w:numId w:val="2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os 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esultados dos cálculos de tempestividade e instruções sobre registro de egressos de cursos de Arquitetura e Urbanismo conforme 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bela constante do Anexo I desta deliberação;</w:t>
            </w:r>
          </w:p>
          <w:p w:rsidR="00B27477" w:rsidRDefault="00F3097A">
            <w:pPr>
              <w:numPr>
                <w:ilvl w:val="0"/>
                <w:numId w:val="2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conforme tabela constante do Anexo II desta deliberação;</w:t>
            </w:r>
          </w:p>
          <w:p w:rsidR="00B27477" w:rsidRDefault="00F3097A">
            <w:pPr>
              <w:numPr>
                <w:ilvl w:val="0"/>
                <w:numId w:val="2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sessorias das Comissões de Ensino e Formação dos CAU/UF, por inte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médio do conselheiro representante das IES;</w:t>
            </w:r>
          </w:p>
          <w:p w:rsidR="00B27477" w:rsidRDefault="00F3097A">
            <w:pPr>
              <w:numPr>
                <w:ilvl w:val="0"/>
                <w:numId w:val="2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deliberação à Presidência do CAU/BR para conhecimento e tomada das seguintes providências: </w:t>
            </w:r>
          </w:p>
          <w:p w:rsidR="00B27477" w:rsidRDefault="00F3097A">
            <w:pPr>
              <w:pStyle w:val="PargrafodaLista"/>
              <w:numPr>
                <w:ilvl w:val="1"/>
                <w:numId w:val="2"/>
              </w:numPr>
              <w:jc w:val="both"/>
            </w:pPr>
            <w:r>
              <w:rPr>
                <w:rFonts w:eastAsia="Times New Roman"/>
                <w:sz w:val="22"/>
                <w:szCs w:val="22"/>
              </w:rPr>
              <w:t>Informar a Presidência e Comissão de Ensino e Formação dos CAU/UF acerca do conteúdo desta deliberação.</w:t>
            </w:r>
          </w:p>
          <w:p w:rsidR="00B27477" w:rsidRDefault="00F309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Cursos Analisados*:</w:t>
            </w:r>
          </w:p>
          <w:tbl>
            <w:tblPr>
              <w:tblW w:w="65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960"/>
              <w:gridCol w:w="2380"/>
              <w:gridCol w:w="2160"/>
              <w:gridCol w:w="620"/>
            </w:tblGrid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96306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UNISUAM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RIO DE JANEIRO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RJ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1138990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UNORP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JOSE DO RIO PRETO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68685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UNICEP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CARLOS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5000384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UFFS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ERECHIM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3948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UNIVALI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BALNEARIO CAMBORIU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10585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UMC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MOGI DAS CRUZES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5000224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FSG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CAXIAS DO SUL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12343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UFRN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NATAL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RN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9430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CEULM/ULBRA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MANAUS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AM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100086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FACCAT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TUPÃ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5738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UNIAN (UNIABC)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SANTO ANDRÉ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49506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URI - Santiago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SANTIAGO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20973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ULBRA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TORRES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1205875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UDF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BRASÍLIA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DF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67219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BARDDAL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FLORIANÓPOLIS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1279375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UNAERP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RIBEIRÃO PRETO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1786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UPF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PASSO FUNDO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1265712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UNIP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LIMEIRA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1260216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IFSP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1279137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UNILINS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LINS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1258816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UNIFEOB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JOÃO DA BOA VI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</w:t>
                  </w: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TA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1193668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FMP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INDAIATUBA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1205803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TAUBATÉ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1215463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UNIP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ARARAQUARA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1258833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UNIP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ARARAQUARA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5000431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UNIP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LIMEIRA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1261756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IMESB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BEBEDOURO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114805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UNIFIAM FAAM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1304844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UNIAN-SP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1280548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ISEC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1427464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UNIRB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1280340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UNINASSAU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1259890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PIT TEIXEIRA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TEIXEIRA DE FREITAS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1259889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FACDELTA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1299528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FARAL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ALAGOINHAS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1322852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FTC SALVADOR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B274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27477" w:rsidRDefault="00F3097A">
                  <w:pPr>
                    <w:suppressAutoHyphens w:val="0"/>
                    <w:jc w:val="right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1332348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FTC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FEIRA DE SANTANA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B27477" w:rsidRDefault="00F3097A">
                  <w:pPr>
                    <w:suppressAutoHyphens w:val="0"/>
                    <w:jc w:val="center"/>
                    <w:textAlignment w:val="auto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</w:tbl>
          <w:p w:rsidR="00B27477" w:rsidRDefault="00F3097A">
            <w:pPr>
              <w:jc w:val="both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(* Verificar a deliberação mencionada para os resultados das análises.)</w:t>
            </w:r>
          </w:p>
          <w:p w:rsidR="00B27477" w:rsidRDefault="00B27477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B27477" w:rsidRDefault="00F3097A">
            <w:pPr>
              <w:pStyle w:val="PargrafodaLista"/>
              <w:numPr>
                <w:ilvl w:val="1"/>
                <w:numId w:val="1"/>
              </w:numPr>
              <w:jc w:val="both"/>
            </w:pPr>
            <w:r>
              <w:rPr>
                <w:b/>
                <w:sz w:val="22"/>
                <w:szCs w:val="22"/>
              </w:rPr>
              <w:t xml:space="preserve">Protocolo SICCAU 674370/2018: </w:t>
            </w:r>
            <w:r>
              <w:rPr>
                <w:sz w:val="22"/>
                <w:szCs w:val="22"/>
              </w:rPr>
              <w:t xml:space="preserve">Ofício nº </w:t>
            </w:r>
            <w:r>
              <w:rPr>
                <w:sz w:val="22"/>
                <w:szCs w:val="22"/>
              </w:rPr>
              <w:t xml:space="preserve">27/2018-PRES-CAU/RS que solicita a disponibilização dos currículos e dos projetos pedagógicos das IES com sede ou polos presenciais - no caso de EAD - no estado do Rio Grande do Sul. &gt; </w:t>
            </w:r>
            <w:r>
              <w:rPr>
                <w:b/>
                <w:sz w:val="22"/>
                <w:szCs w:val="22"/>
              </w:rPr>
              <w:t>Proposta de Disponibilização de dados das IES aos CAU/UF</w:t>
            </w:r>
          </w:p>
          <w:p w:rsidR="00B27477" w:rsidRDefault="00B27477">
            <w:pPr>
              <w:pStyle w:val="PargrafodaLista"/>
              <w:rPr>
                <w:b/>
                <w:sz w:val="22"/>
                <w:szCs w:val="22"/>
              </w:rPr>
            </w:pPr>
          </w:p>
          <w:p w:rsidR="00B27477" w:rsidRDefault="00F3097A">
            <w:pPr>
              <w:pStyle w:val="PargrafodaLista"/>
              <w:ind w:left="360"/>
              <w:jc w:val="both"/>
            </w:pPr>
            <w:r>
              <w:rPr>
                <w:sz w:val="22"/>
                <w:szCs w:val="22"/>
              </w:rPr>
              <w:t xml:space="preserve">A comissão </w:t>
            </w:r>
            <w:r>
              <w:rPr>
                <w:sz w:val="22"/>
                <w:szCs w:val="22"/>
              </w:rPr>
              <w:t>tomou conhecimento do pleito e do tema. Após informações recebidas da Assessoria da Comissão, e com base em orientação recebida da Assessoria Jurídica do CAU/BR e por parte da Coordenação do SI</w:t>
            </w: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CAU, decidiu:</w:t>
            </w:r>
          </w:p>
          <w:p w:rsidR="00B27477" w:rsidRDefault="00F3097A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032/2018 – CEF-CAU/BR</w:t>
            </w:r>
          </w:p>
          <w:p w:rsidR="00B27477" w:rsidRDefault="00F3097A">
            <w:pPr>
              <w:numPr>
                <w:ilvl w:val="0"/>
                <w:numId w:val="3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Comissões de Ensino e Formação dos CAU/UF a consulta por meio do SICCAU ao cadastro de Cursos do CAU/BR, por meio da criação de perfil de usuário “módulo acadêmico CAU/UF”, permitindo a este perfil de usuário a pesquisa dos cursos, a visualização dos dad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 de cadastro e o acesso aos documentos e planilhas de egressos inseridos pelos coordenadores de curso;</w:t>
            </w:r>
          </w:p>
          <w:p w:rsidR="00B27477" w:rsidRDefault="00F3097A">
            <w:pPr>
              <w:numPr>
                <w:ilvl w:val="0"/>
                <w:numId w:val="3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à assessoria da CEF-CAU/BR a abertura de GAD para implantação de perfil de usuário “módulo acadêmico CAU/UF” no SICCAU nos termos desta delib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eração, e a tomar as providências necessárias para garantir a divulgação desta evolução do sistema para as CEFs-CAU/UF assim que concluída a implantação;</w:t>
            </w:r>
          </w:p>
          <w:p w:rsidR="00B27477" w:rsidRDefault="00F3097A">
            <w:pPr>
              <w:numPr>
                <w:ilvl w:val="0"/>
                <w:numId w:val="3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tomada das seguintes providências: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B27477" w:rsidRDefault="00F3097A">
            <w:pPr>
              <w:ind w:left="36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Comissão de Ensino e Formação do CAU/RS acerca do conteúdo desta deliberação.</w:t>
            </w:r>
          </w:p>
          <w:p w:rsidR="00B27477" w:rsidRDefault="00B27477">
            <w:pPr>
              <w:pStyle w:val="PargrafodaLista"/>
              <w:ind w:left="360"/>
              <w:jc w:val="both"/>
              <w:rPr>
                <w:b/>
                <w:sz w:val="22"/>
                <w:szCs w:val="22"/>
              </w:rPr>
            </w:pPr>
          </w:p>
          <w:p w:rsidR="00B27477" w:rsidRDefault="00F3097A">
            <w:pPr>
              <w:pStyle w:val="PargrafodaLista"/>
              <w:numPr>
                <w:ilvl w:val="1"/>
                <w:numId w:val="1"/>
              </w:numPr>
              <w:jc w:val="both"/>
            </w:pPr>
            <w:r>
              <w:rPr>
                <w:b/>
                <w:sz w:val="22"/>
                <w:szCs w:val="22"/>
              </w:rPr>
              <w:t xml:space="preserve">Protocolo SICCAU 676137/2018: </w:t>
            </w:r>
            <w:r>
              <w:rPr>
                <w:sz w:val="22"/>
                <w:szCs w:val="22"/>
              </w:rPr>
              <w:t>Memorando nº 01/2018-CEF-CAU/RJ referente ao cálculo de tempestividade UNESA-Petrópolis.</w:t>
            </w:r>
          </w:p>
          <w:p w:rsidR="00B27477" w:rsidRDefault="00B27477">
            <w:pPr>
              <w:pStyle w:val="PargrafodaLista"/>
              <w:ind w:left="360"/>
              <w:jc w:val="both"/>
              <w:rPr>
                <w:sz w:val="22"/>
                <w:szCs w:val="22"/>
              </w:rPr>
            </w:pPr>
          </w:p>
          <w:p w:rsidR="00B27477" w:rsidRDefault="00F3097A">
            <w:pPr>
              <w:pStyle w:val="PargrafodaLista"/>
              <w:ind w:left="360"/>
              <w:jc w:val="both"/>
            </w:pPr>
            <w:r>
              <w:rPr>
                <w:sz w:val="22"/>
                <w:szCs w:val="22"/>
              </w:rPr>
              <w:t>A comissão recebeu representação do CAU/R</w:t>
            </w:r>
            <w:r>
              <w:rPr>
                <w:sz w:val="22"/>
                <w:szCs w:val="22"/>
              </w:rPr>
              <w:t>J, integrado pela Gerente Técnica Arq. e Urb. Maria Carolina Romão Mamede e pela coordenadora adjunta da CEF-RJ Arq. e Urb. Mariana Bicalho, no intuito de prestar esclarecimentos. Após rodada de esclarecimentos e orientação, a Comissão se colocou a disposi</w:t>
            </w:r>
            <w:r>
              <w:rPr>
                <w:sz w:val="22"/>
                <w:szCs w:val="22"/>
              </w:rPr>
              <w:t>ção para reanalisar o processo, baseado na Deliberação Ad referendum 01/2018 CEF-CAU/RJ, tendo o seguinte encaminhamento:</w:t>
            </w:r>
          </w:p>
          <w:p w:rsidR="00B27477" w:rsidRDefault="00F3097A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034/2018 – CEF-CAU/BR</w:t>
            </w:r>
          </w:p>
          <w:p w:rsidR="00B27477" w:rsidRDefault="00F3097A">
            <w:pPr>
              <w:numPr>
                <w:ilvl w:val="0"/>
                <w:numId w:val="4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Quanto as alegações da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Deliberação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ad referendum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001/2018 CEF-CAU/RJ, esclarecer que:</w:t>
            </w:r>
          </w:p>
          <w:p w:rsidR="00B27477" w:rsidRDefault="00F3097A">
            <w:pPr>
              <w:numPr>
                <w:ilvl w:val="0"/>
                <w:numId w:val="5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entendimento acerca da intempestividade do curso encontra amparo nas Deliberações 131/2017, 175/2017 e 004/2018 CEF-CAU/BR, proferidas pela Comissão de Ensino e Formação do CAU/BR, sendo 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Parecer 001/2018 CEF-CAU/BR apenas orientativo para a decisão da Co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missão;</w:t>
            </w:r>
          </w:p>
          <w:p w:rsidR="00B27477" w:rsidRDefault="00F3097A">
            <w:pPr>
              <w:numPr>
                <w:ilvl w:val="0"/>
                <w:numId w:val="5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Contrariamente ao citado na Deliberação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ad referendum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001/2018 CEF-CAU/RJ, e conforme exarado no Memorando 018 CEF-CAU/RJ, acerca da divergência de interpretações quanto ao prazo do protocolo de reconhecimento e sua intempestividade, e o curto praz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 que poderia definir seu caráter intempestivo, a CEF-CAU/BR enfatiza que o julgamento de mérito compete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Secretaria de Regulação do Ensino Superior – SERES-MEC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a qual já foi oficiada e não apresentou manifestação até esta data;</w:t>
            </w:r>
          </w:p>
          <w:p w:rsidR="00B27477" w:rsidRDefault="00F3097A">
            <w:pPr>
              <w:numPr>
                <w:ilvl w:val="0"/>
                <w:numId w:val="5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Diferente do citado na De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liberação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ad referendum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001/2018 CEF-CAU/RJ, o agendamento de visita da comissão de avaliação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in-loco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do INEP, a ocorrer entre os meses de junho e julho de 2018, NÃO denota qualquer indicação quanto ao reconhecimento do curso, sendo que o reconhecimento se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rá analisado pelos órgãos competententes com base no resultado da avaliação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in-loco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;  </w:t>
            </w:r>
          </w:p>
          <w:p w:rsidR="00B27477" w:rsidRDefault="00F3097A">
            <w:pPr>
              <w:numPr>
                <w:ilvl w:val="0"/>
                <w:numId w:val="4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Manter o posicionamento quanto a intempestividade do protocolo de reconhecimento do curso de Arquitetura e Urbanismo (MEC 1184923) da UNIVERSIDADE ESTÁCIO DE SÁ – PETROP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OLIS, reiterando o entendimento disposto nas Deliberações 131/2017, 175/2017, 004/2018 CEF-CAU/BR, ratificando a análise do Parecer 001/2018 CEF-CAU/BR como entendimento desta comissão;</w:t>
            </w:r>
          </w:p>
          <w:p w:rsidR="00B27477" w:rsidRDefault="00F3097A">
            <w:pPr>
              <w:numPr>
                <w:ilvl w:val="0"/>
                <w:numId w:val="4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Autorizar, diante da excepcionalidade denotada nos considerandos, o CA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U/RJ a efetuar registro provisório dos egressos do curso 1184923 até que seja publicada portaria de reconhecimento do curso ou até manifestação da Secretaria de Regulação do Ensino Superior – SERES-MEC;</w:t>
            </w:r>
          </w:p>
          <w:p w:rsidR="00B27477" w:rsidRDefault="00F3097A">
            <w:pPr>
              <w:numPr>
                <w:ilvl w:val="0"/>
                <w:numId w:val="4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conhecimento e solicitando a comunicação ao CAU/RJ do conteúdo desta deliberação;</w:t>
            </w:r>
          </w:p>
          <w:p w:rsidR="00B27477" w:rsidRDefault="00B27477">
            <w:pPr>
              <w:pStyle w:val="PargrafodaLista"/>
              <w:ind w:left="360"/>
              <w:jc w:val="both"/>
              <w:rPr>
                <w:b/>
                <w:sz w:val="22"/>
                <w:szCs w:val="22"/>
              </w:rPr>
            </w:pPr>
          </w:p>
          <w:p w:rsidR="00B27477" w:rsidRDefault="00F3097A">
            <w:pPr>
              <w:pStyle w:val="PargrafodaLista"/>
              <w:numPr>
                <w:ilvl w:val="1"/>
                <w:numId w:val="1"/>
              </w:numPr>
              <w:jc w:val="both"/>
            </w:pPr>
            <w:r>
              <w:rPr>
                <w:b/>
                <w:sz w:val="22"/>
                <w:szCs w:val="22"/>
              </w:rPr>
              <w:t xml:space="preserve">Protocolo SICCAU 673248/2018: </w:t>
            </w:r>
            <w:r>
              <w:rPr>
                <w:sz w:val="22"/>
                <w:szCs w:val="22"/>
              </w:rPr>
              <w:t xml:space="preserve">Memorando nº 006/2018 CEF-CAU/SP que encaminha a Deliberação nº 04/2018 da CEF-CAU/SP referente à consulta sobre cursos de Arquitetura e </w:t>
            </w:r>
            <w:r>
              <w:rPr>
                <w:sz w:val="22"/>
                <w:szCs w:val="22"/>
              </w:rPr>
              <w:t>Urbanismo, além de informes à CEF-CAU/BR.</w:t>
            </w:r>
          </w:p>
          <w:p w:rsidR="00B27477" w:rsidRDefault="00B27477">
            <w:pPr>
              <w:pStyle w:val="PargrafodaLista"/>
              <w:rPr>
                <w:b/>
                <w:sz w:val="22"/>
                <w:szCs w:val="22"/>
              </w:rPr>
            </w:pPr>
          </w:p>
          <w:p w:rsidR="00B27477" w:rsidRDefault="00F3097A">
            <w:pPr>
              <w:pStyle w:val="PargrafodaLista"/>
              <w:ind w:left="360"/>
              <w:jc w:val="both"/>
            </w:pPr>
            <w:r>
              <w:rPr>
                <w:sz w:val="22"/>
                <w:szCs w:val="22"/>
              </w:rPr>
              <w:t xml:space="preserve">A comissão tomou conhecimento do trabalho realizado pelo CAU/SP, manifestando seu reconhecimento pelo mesmo. Foi informada acerca das orientações repassadas pela assessoria sobre os informes enviados pelo CAU/SP, </w:t>
            </w:r>
            <w:r>
              <w:rPr>
                <w:sz w:val="22"/>
                <w:szCs w:val="22"/>
              </w:rPr>
              <w:t>e quanto as consultas, tomou as seguintes providências:</w:t>
            </w:r>
          </w:p>
          <w:p w:rsidR="00B27477" w:rsidRDefault="00F3097A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033/2018 – CEF-CAU/BR</w:t>
            </w:r>
          </w:p>
          <w:p w:rsidR="00B27477" w:rsidRDefault="00F3097A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Esclarecer ao CAU/SP quanto ao item “a” que conforme consta do sistema eMEC (anexo), o curso curso </w:t>
            </w:r>
            <w:r>
              <w:rPr>
                <w:rFonts w:eastAsia="Times New Roman"/>
                <w:bCs/>
                <w:sz w:val="22"/>
                <w:szCs w:val="22"/>
              </w:rPr>
              <w:t>de Arquitetura e Urbanismo de número 1304844 da UNIVERSIDADE ANH</w:t>
            </w:r>
            <w:r>
              <w:rPr>
                <w:rFonts w:eastAsia="Times New Roman"/>
                <w:bCs/>
                <w:sz w:val="22"/>
                <w:szCs w:val="22"/>
              </w:rPr>
              <w:t>ANGUERA DE SÃO PAULO ainda não foi iniciado, tendo sido autorizado no ano de 2014 por meio da Portaria 10 de 01/09/2014 (anexo), e que até o momento não existe protocolado processo de reconhecimento do curso, e desta forma, não poderia ter formado egressos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no ano de 2011, sendo que o egresso não pode ser registrado com base no documento apresentado;</w:t>
            </w:r>
          </w:p>
          <w:p w:rsidR="00B27477" w:rsidRDefault="00F3097A">
            <w:pPr>
              <w:numPr>
                <w:ilvl w:val="0"/>
                <w:numId w:val="6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Orientar o CAU/SP, quanto ao item “b”, a oficiar a IES acerca de possível equívoco na emissão do documento, buscando informações adicionais, verificando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paralelamente indícios de falsificação de documentação, para posterior encaminhamento ao MEC, uma vez que não consta informação no sistema eMEC acerca da extinção de curso de mesmo número; </w:t>
            </w:r>
          </w:p>
          <w:p w:rsidR="00B27477" w:rsidRDefault="00F3097A">
            <w:pPr>
              <w:numPr>
                <w:ilvl w:val="0"/>
                <w:numId w:val="6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 ao CAU/SP quanto ao item “c” da consulta que a CEF-CAU/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BR aguardo retorno da Assessoria Jurídica do CAU/BR quanto a solicitação efetuada por meio da Deliberação 006/2018 CEF-CAU/BR para orientação aos CAU/UF;</w:t>
            </w:r>
          </w:p>
          <w:p w:rsidR="00B27477" w:rsidRDefault="00F3097A">
            <w:pPr>
              <w:numPr>
                <w:ilvl w:val="0"/>
                <w:numId w:val="6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tomada das seguintes providências: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Oficiar o CAU/SP encaminhando esta deliberação em resposta ao Memorando CEF CAU/SP nº 006/2018;</w:t>
            </w:r>
          </w:p>
          <w:p w:rsidR="00B27477" w:rsidRDefault="00B27477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27477" w:rsidRDefault="00F3097A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035/2018 – CEF-CAU/BR</w:t>
            </w:r>
          </w:p>
          <w:p w:rsidR="00B27477" w:rsidRDefault="00F3097A">
            <w:pPr>
              <w:numPr>
                <w:ilvl w:val="0"/>
                <w:numId w:val="7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 ao CAU/SP que a CEF-CAU/BR aguarda retorno da SERES-MEC acerca do questionamento sobre o caso efetuado por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meio da Deliberação 170/2017 CEF-CAU/BR, e que comunicará o CAU/SP assim que possível, e que até o retorno da SERES-MEC deverá ser considerado o constante da Deliberação 004/2018 CEF-CAU/BR quanto a situação dos cursos.</w:t>
            </w:r>
          </w:p>
          <w:p w:rsidR="00B27477" w:rsidRDefault="00F3097A">
            <w:pPr>
              <w:numPr>
                <w:ilvl w:val="0"/>
                <w:numId w:val="7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ia do CAU/BR para conhecimento e tomada das seguintes providências: Oficiar o CAU/SP encaminhando esta deliberação em resposta ao Memorando CEF-CAU/SP nº 006/2018;</w:t>
            </w:r>
          </w:p>
          <w:p w:rsidR="00B27477" w:rsidRDefault="00B27477">
            <w:pPr>
              <w:pStyle w:val="PargrafodaLista"/>
              <w:ind w:left="360"/>
              <w:jc w:val="both"/>
              <w:rPr>
                <w:b/>
                <w:sz w:val="22"/>
                <w:szCs w:val="22"/>
              </w:rPr>
            </w:pPr>
          </w:p>
          <w:p w:rsidR="00B27477" w:rsidRDefault="00F3097A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Proposta de Simplificação da Planilha de Egressos:</w:t>
            </w:r>
          </w:p>
          <w:p w:rsidR="00B27477" w:rsidRDefault="00F3097A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031/2018 – CEF-CAU/BR</w:t>
            </w:r>
          </w:p>
          <w:p w:rsidR="00B27477" w:rsidRDefault="00F3097A">
            <w:pPr>
              <w:numPr>
                <w:ilvl w:val="0"/>
                <w:numId w:val="8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ovar os campos da Planilha de Egressos anexa a este deliberação como padrão a ser adotado para inserção de dados de egressos pelos coordenadores de curso no SICCAU, em substituição a planilha anterior.</w:t>
            </w:r>
          </w:p>
          <w:p w:rsidR="00B27477" w:rsidRDefault="00F3097A">
            <w:pPr>
              <w:numPr>
                <w:ilvl w:val="0"/>
                <w:numId w:val="8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à assessoria da CEF-CAU/BR a abertura de GAD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implantação das atualizações necessárias no SICCAU quanto à importação dos egressos e comunicação aos coordenadores, nos termos desta deliberação e a tomar as providências necessárias para garantir a divulgação desta evolução do sistema para as CEFs-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CAU/UF assim que concluída a implantação.</w:t>
            </w:r>
          </w:p>
          <w:p w:rsidR="00B27477" w:rsidRDefault="00F3097A">
            <w:pPr>
              <w:numPr>
                <w:ilvl w:val="0"/>
                <w:numId w:val="8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conhecimento.</w:t>
            </w:r>
          </w:p>
          <w:p w:rsidR="00B27477" w:rsidRDefault="00B27477">
            <w:pPr>
              <w:pStyle w:val="PargrafodaLista"/>
              <w:ind w:left="360"/>
              <w:jc w:val="both"/>
              <w:rPr>
                <w:b/>
                <w:sz w:val="22"/>
                <w:szCs w:val="22"/>
              </w:rPr>
            </w:pPr>
          </w:p>
          <w:p w:rsidR="00B27477" w:rsidRDefault="00F3097A">
            <w:pPr>
              <w:pStyle w:val="PargrafodaLista"/>
              <w:numPr>
                <w:ilvl w:val="1"/>
                <w:numId w:val="1"/>
              </w:numPr>
              <w:jc w:val="both"/>
            </w:pPr>
            <w:r>
              <w:rPr>
                <w:b/>
                <w:sz w:val="22"/>
                <w:szCs w:val="22"/>
              </w:rPr>
              <w:t xml:space="preserve">Convocação de reunião técnica para reestruturação do Cadastro de Cursos: </w:t>
            </w:r>
            <w:r>
              <w:rPr>
                <w:sz w:val="22"/>
                <w:szCs w:val="22"/>
              </w:rPr>
              <w:t>estado da arte, objetivos, conceito, providências e metas.</w:t>
            </w:r>
          </w:p>
          <w:p w:rsidR="00B27477" w:rsidRDefault="00B27477">
            <w:pPr>
              <w:pStyle w:val="PargrafodaLista"/>
              <w:rPr>
                <w:b/>
                <w:sz w:val="22"/>
                <w:szCs w:val="22"/>
              </w:rPr>
            </w:pPr>
          </w:p>
          <w:p w:rsidR="00B27477" w:rsidRDefault="00F3097A">
            <w:pPr>
              <w:pStyle w:val="PargrafodaLista"/>
              <w:ind w:left="360"/>
              <w:jc w:val="both"/>
            </w:pPr>
            <w:r>
              <w:rPr>
                <w:sz w:val="22"/>
                <w:szCs w:val="22"/>
              </w:rPr>
              <w:t>O tema não fo</w:t>
            </w:r>
            <w:r>
              <w:rPr>
                <w:sz w:val="22"/>
                <w:szCs w:val="22"/>
              </w:rPr>
              <w:t>i apreciado e será tratado em reunião futura.</w:t>
            </w:r>
          </w:p>
        </w:tc>
      </w:tr>
    </w:tbl>
    <w:p w:rsidR="00B27477" w:rsidRDefault="00B274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 de Profissionais Diplomados em IES Estrangeira / IES Estrangeira via OA/PT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030/2018 – CEF-CAU/BR</w:t>
            </w:r>
          </w:p>
          <w:p w:rsidR="00B27477" w:rsidRDefault="00F3097A">
            <w:pPr>
              <w:suppressAutoHyphens w:val="0"/>
              <w:spacing w:before="120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1. Deferir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os requerimentos de registro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definitivo dos profissionais elencados a seguir, com data de expiração vinculada à validade do Registro Nacional de Estrangeiro (RNE), nos termos da Resolução CAU/BR nº 26/2012:</w:t>
            </w:r>
          </w:p>
          <w:p w:rsidR="00B27477" w:rsidRDefault="00F3097A">
            <w:pPr>
              <w:suppressAutoHyphens w:val="0"/>
              <w:spacing w:before="120"/>
              <w:jc w:val="both"/>
              <w:textAlignment w:val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380286" cy="1238554"/>
                  <wp:effectExtent l="0" t="0" r="1214" b="0"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286" cy="123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477" w:rsidRDefault="00B274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27477" w:rsidRDefault="00F3097A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037/2018 – CEF-CAU/BR</w:t>
            </w:r>
          </w:p>
          <w:p w:rsidR="00B27477" w:rsidRDefault="00F3097A">
            <w:pPr>
              <w:tabs>
                <w:tab w:val="left" w:pos="426"/>
              </w:tabs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Diligenciar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 requerimento de regis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tro definitivo da profissional identificada a seguir, restituindo o respectivo processo ao CAU/BA para contato com a requerente e complementação do processo com o apostilamento dos documentos estrangeiros apresentados.</w:t>
            </w:r>
          </w:p>
          <w:p w:rsidR="00B27477" w:rsidRDefault="00F3097A">
            <w:pPr>
              <w:tabs>
                <w:tab w:val="left" w:pos="426"/>
              </w:tabs>
              <w:suppressAutoHyphens w:val="0"/>
              <w:jc w:val="both"/>
              <w:textAlignment w:val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385325" cy="711037"/>
                  <wp:effectExtent l="0" t="0" r="0" b="0"/>
                  <wp:docPr id="5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5325" cy="71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477" w:rsidRDefault="00F3097A">
            <w:pPr>
              <w:tabs>
                <w:tab w:val="left" w:pos="426"/>
              </w:tabs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 prejuízo da tramitação do re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querimento de registro, solicitar à Presidência do CAU/BR que envie cópia do processo e os anexos desta deliberação para o Setor de Fiscalização do CAU/BA para apuração de indícios de exercício ilegal da profissão e posterior restituição do processo à CEF-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</w:p>
        </w:tc>
      </w:tr>
    </w:tbl>
    <w:p w:rsidR="00B27477" w:rsidRDefault="00B274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Acompanhamento questões MEC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SICCAU 675335/2018: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Ofício nº 289/2018/CGLNRS/DPR/SERES/SERES-MEC, em resposta ao Ofício nº 399/2017-PRES-CAU/BR, informando que o </w:t>
            </w:r>
            <w:r>
              <w:rPr>
                <w:rFonts w:ascii="Times New Roman" w:hAnsi="Times New Roman"/>
                <w:sz w:val="22"/>
                <w:szCs w:val="22"/>
              </w:rPr>
              <w:t>Ministério da Educação (MEC) apoia o crescimento dos polos de EaD e apoia as novas portarias e decretos apresentados para a modernização, desburocratização e aprimoramento do sistema federal de ensino.</w:t>
            </w:r>
          </w:p>
          <w:p w:rsidR="00B27477" w:rsidRDefault="00B274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27477" w:rsidRDefault="00F30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tomou conhecimento do teor do documento e </w:t>
            </w:r>
            <w:r>
              <w:rPr>
                <w:rFonts w:ascii="Times New Roman" w:hAnsi="Times New Roman"/>
                <w:sz w:val="22"/>
                <w:szCs w:val="22"/>
              </w:rPr>
              <w:t>orientou arquivar o mesmo. Com base nesta resposta e nas reuniões realizadas com o CNE e com a coordenadora da CEF-CAU/AM (extrapauta), a comissão decidiu por reiterar a manifestação do CAU sobre a qualidade do ensino, conforme segue:</w:t>
            </w:r>
          </w:p>
          <w:p w:rsidR="00B27477" w:rsidRDefault="00F3097A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036/2018 – CEF-CAU/BR</w:t>
            </w:r>
          </w:p>
          <w:p w:rsidR="00B27477" w:rsidRDefault="00F3097A">
            <w:pPr>
              <w:numPr>
                <w:ilvl w:val="0"/>
                <w:numId w:val="9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Solicitar a Presidência do CAU/BR a encaminhar a Carta anexa a esta deliberação para assinatura da Presidência de todos os CAU/UF,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 posterior protocolo da manifestação junto ao Ministro da Educação;</w:t>
            </w:r>
          </w:p>
        </w:tc>
      </w:tr>
    </w:tbl>
    <w:p w:rsidR="00B27477" w:rsidRDefault="00B274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Atribuição Profissional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4.1 Protocolo SICCAU 635400/2018 -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entendimento do CAU/BR sobre fundações profundas, possibilitando aos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arquitetos e urbanistas realizar todas as atividades necessárias à conclusão de seus serviços técnicos: </w:t>
            </w:r>
          </w:p>
          <w:p w:rsidR="00B27477" w:rsidRDefault="00B274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27477" w:rsidRDefault="00F3097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Foi designado o Conselheiro Humberto Mauro Andrade Cruz como relator.</w:t>
            </w:r>
          </w:p>
          <w:p w:rsidR="00B27477" w:rsidRDefault="00B27477">
            <w:pPr>
              <w:jc w:val="both"/>
              <w:rPr>
                <w:sz w:val="22"/>
                <w:szCs w:val="22"/>
              </w:rPr>
            </w:pPr>
          </w:p>
          <w:p w:rsidR="00B27477" w:rsidRDefault="00F3097A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4.2 Protocolo SICCAU 644639/2017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resposta CEP sobre Desconto no valor de anui</w:t>
            </w:r>
            <w:r>
              <w:rPr>
                <w:rFonts w:ascii="Times New Roman" w:hAnsi="Times New Roman"/>
                <w:sz w:val="22"/>
                <w:szCs w:val="22"/>
              </w:rPr>
              <w:t>dade e RRT para Coordenadores de Curso de Arquitetura e Urbanismo (CEP):</w:t>
            </w:r>
          </w:p>
          <w:p w:rsidR="00B27477" w:rsidRDefault="00B274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27477" w:rsidRDefault="00F3097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 Comissão tomou conhecimento da resposta da CEP, e aguardará o posicionamento da CPFI.</w:t>
            </w:r>
          </w:p>
        </w:tc>
      </w:tr>
    </w:tbl>
    <w:p w:rsidR="00B27477" w:rsidRDefault="00B274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 e Plano de Ação para 2018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CEF-CAU/BR – Deliberação 007/2018 </w:t>
            </w:r>
            <w:r>
              <w:rPr>
                <w:rFonts w:ascii="Times New Roman" w:hAnsi="Times New Roman"/>
                <w:sz w:val="22"/>
                <w:szCs w:val="22"/>
              </w:rPr>
              <w:t>COA-CAU/BR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040/2018 – CEF-CAU/BR</w:t>
            </w:r>
          </w:p>
          <w:p w:rsidR="00B27477" w:rsidRDefault="00F3097A">
            <w:pPr>
              <w:numPr>
                <w:ilvl w:val="0"/>
                <w:numId w:val="10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 Plano de Trabalho da Comissão de Ensino e Formação do CAU/BR, conforme anexo;</w:t>
            </w:r>
          </w:p>
          <w:p w:rsidR="00B27477" w:rsidRDefault="00F3097A">
            <w:pPr>
              <w:numPr>
                <w:ilvl w:val="0"/>
                <w:numId w:val="10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tomada das seguintes providências, em atendimento a Deliberação 007/2018 COA-CAU/BR: </w:t>
            </w:r>
          </w:p>
          <w:p w:rsidR="00B27477" w:rsidRDefault="00F3097A">
            <w:pPr>
              <w:numPr>
                <w:ilvl w:val="1"/>
                <w:numId w:val="10"/>
              </w:numPr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Publicar do Plano de Trabalho anexo a esta deliberação, até o dia 20 de abril de 2018; </w:t>
            </w:r>
          </w:p>
          <w:p w:rsidR="00B27477" w:rsidRDefault="00F3097A">
            <w:pPr>
              <w:numPr>
                <w:ilvl w:val="1"/>
                <w:numId w:val="10"/>
              </w:numPr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o Plano de Trabalho anexo a esta deliberação ao Conselho Diretor para </w:t>
            </w:r>
            <w:r>
              <w:rPr>
                <w:rFonts w:ascii="Times New Roman" w:hAnsi="Times New Roman"/>
                <w:sz w:val="22"/>
                <w:szCs w:val="22"/>
              </w:rPr>
              <w:t>consolidação, na reunião de maio;</w:t>
            </w:r>
          </w:p>
          <w:p w:rsidR="00B27477" w:rsidRDefault="00F3097A">
            <w:pPr>
              <w:numPr>
                <w:ilvl w:val="1"/>
                <w:numId w:val="10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Incluir </w:t>
            </w:r>
            <w:r>
              <w:rPr>
                <w:rFonts w:ascii="Times New Roman" w:hAnsi="Times New Roman"/>
                <w:sz w:val="22"/>
                <w:szCs w:val="22"/>
              </w:rPr>
              <w:t>a apresentação do Plano de Trabalho da Comissão de Ensino e Formação do CAU/BR na reunião Plenária Ampliada de maio.</w:t>
            </w:r>
          </w:p>
        </w:tc>
      </w:tr>
    </w:tbl>
    <w:p w:rsidR="00B27477" w:rsidRDefault="00B274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Enquadramento regulamentar das atividades de extensão universitária em Arquitetura e Urbanism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o.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Hélio Cavalcanti da Costa Lima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038/2018 – CEF – CAU/BR</w:t>
            </w:r>
          </w:p>
          <w:p w:rsidR="00B27477" w:rsidRDefault="00F3097A">
            <w:pPr>
              <w:numPr>
                <w:ilvl w:val="0"/>
                <w:numId w:val="11"/>
              </w:numPr>
              <w:suppressAutoHyphens w:val="0"/>
              <w:ind w:left="709" w:hanging="425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 Relatório do Conselheiro Relator;</w:t>
            </w:r>
          </w:p>
          <w:p w:rsidR="00B27477" w:rsidRDefault="00F3097A">
            <w:pPr>
              <w:numPr>
                <w:ilvl w:val="0"/>
                <w:numId w:val="11"/>
              </w:numPr>
              <w:suppressAutoHyphens w:val="0"/>
              <w:ind w:left="709" w:hanging="425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Secretaria Geral da Mesa o envio do Relatório anexo para a Comissão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Exercício Profissional, como contribuição para a regulamentação do 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nquadramento das atividades profissionais em Arquitetura e Urbanismo na extensão universitária, colocando esta comissão a disposição para contribuição quanto a regulamentação da questão;</w:t>
            </w:r>
          </w:p>
          <w:p w:rsidR="00B27477" w:rsidRDefault="00F3097A">
            <w:pPr>
              <w:numPr>
                <w:ilvl w:val="0"/>
                <w:numId w:val="11"/>
              </w:numPr>
              <w:suppressAutoHyphens w:val="0"/>
              <w:ind w:left="709" w:hanging="425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nviar esta deliberação à Presidência do CAU/BR para conhecimento, solicitando análise do Conselho Diretor quanto as seguintes providências:</w:t>
            </w:r>
          </w:p>
          <w:p w:rsidR="00B27477" w:rsidRDefault="00F3097A">
            <w:pPr>
              <w:ind w:left="709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Considerar como uma das pautas prioritárias do CAU/BR o “ENQUADRAMENTO REGULAMENTAR DAS ATIVIDADES PROFISSIONAIS </w:t>
            </w:r>
            <w:r>
              <w:rPr>
                <w:rFonts w:ascii="Times New Roman" w:hAnsi="Times New Roman"/>
                <w:sz w:val="22"/>
                <w:szCs w:val="22"/>
              </w:rPr>
              <w:t>DE ARQUITETURA E URBANISMO EM EXTENSÃO UNIVERSITÁRIA”;</w:t>
            </w:r>
          </w:p>
          <w:p w:rsidR="00B27477" w:rsidRDefault="00F3097A">
            <w:pPr>
              <w:ind w:left="709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Propor uma ação conjunta da CEF, da CEP e da CED-CAU/BR, sob a coordenação da primeira, e com a colaboração de outras comissões do CAU/BR, quando pertinente, visando a equacionar os problemas e conf</w:t>
            </w:r>
            <w:r>
              <w:rPr>
                <w:rFonts w:ascii="Times New Roman" w:hAnsi="Times New Roman"/>
                <w:sz w:val="22"/>
                <w:szCs w:val="22"/>
              </w:rPr>
              <w:t>litos que envolvem a questão da Extensão Universitária em Arquitetura e Urbanismo, cabendo:</w:t>
            </w:r>
          </w:p>
          <w:p w:rsidR="00B27477" w:rsidRDefault="00F3097A">
            <w:pPr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a) à CEF-CAU/BR – coordenar os trabalhos; elaborar, no prazo de 30 dias, plano de trabalho conjunto com as demais comissões, estabelecendo estratégias e metas de cu</w:t>
            </w:r>
            <w:r>
              <w:rPr>
                <w:rFonts w:ascii="Times New Roman" w:hAnsi="Times New Roman"/>
                <w:sz w:val="22"/>
                <w:szCs w:val="22"/>
              </w:rPr>
              <w:t>rto, médio e longo prazos;</w:t>
            </w:r>
          </w:p>
          <w:p w:rsidR="00B27477" w:rsidRDefault="00F3097A">
            <w:pPr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b) à CEP-CAU/BR – colaborar, dentro do seu campo de atuação, com a CEF-CAU/BR, especialmente para melhor definir a responsabilidade técnica na extensão universitária em arquitetura e urbanismo, e proceder à revisão dos mecanismos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RRT, e de registro de PJ, quando for caso, para essa natureza de atividades - desenvolvendo os conceitos necessários e definindo suas abrangências e formas de implementação no SICCAU, com atenção à geração de dados que permitam cernir as atividades pro</w:t>
            </w:r>
            <w:r>
              <w:rPr>
                <w:rFonts w:ascii="Times New Roman" w:hAnsi="Times New Roman"/>
                <w:sz w:val="22"/>
                <w:szCs w:val="22"/>
              </w:rPr>
              <w:t>fissionais efetivamente exercidas (projeto, execução, gestão, etc.) nos serviços de arquitetura e urbanismo prestados sob a forma de extensão universitária;</w:t>
            </w:r>
          </w:p>
          <w:p w:rsidR="00B27477" w:rsidRDefault="00F3097A">
            <w:pPr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c) e à CED-CAU/BR - colaborar, dentro do seu campo de atuação, com a CEF-CAU/BR, especialmente para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tipificação de eventuais desvios da função educacional e social da Extensão Universitária em Arquitetura e Urbanismo (concorrência desleal, vantagens indevidas, etc.) no Código de Ética.</w:t>
            </w:r>
          </w:p>
          <w:p w:rsidR="00B27477" w:rsidRDefault="00F3097A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Solicitar à Assessoria Jurídica do CAU/BR que oriente as comissõe</w:t>
            </w:r>
            <w:r>
              <w:rPr>
                <w:rFonts w:ascii="Times New Roman" w:hAnsi="Times New Roman"/>
                <w:sz w:val="22"/>
                <w:szCs w:val="22"/>
              </w:rPr>
              <w:t>s envolvidas, quanto aos aspectos jurídicos que envolvem a questão, observando a prioridade dada à pauta.</w:t>
            </w:r>
          </w:p>
        </w:tc>
      </w:tr>
    </w:tbl>
    <w:p w:rsidR="00B27477" w:rsidRDefault="00B274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Publicação de Série de Notícias relativas ao Ensino de AU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Definição de temas, solicitar apoio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Assessoria de Comunicação e designar relator para o acompanhamento e revisão textual:</w:t>
            </w:r>
          </w:p>
          <w:p w:rsidR="00B27477" w:rsidRDefault="00F3097A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Ensino, marco regulatório e Acreditação;</w:t>
            </w:r>
          </w:p>
          <w:p w:rsidR="00B27477" w:rsidRDefault="00F3097A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Requisitos mínimos para cursos de graduação, manifesto pela qualidade: DCN, carga horária, tempo integralização;</w:t>
            </w:r>
          </w:p>
          <w:p w:rsidR="00B27477" w:rsidRDefault="00F3097A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Competências dos entes na regulação do ensino superior;</w:t>
            </w:r>
          </w:p>
          <w:p w:rsidR="00B27477" w:rsidRDefault="00F3097A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Registro de diplomado no exterior e acordo OAPT;</w:t>
            </w:r>
          </w:p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Cadastro de IES, necessidade de RRT nas atividades de ensino.</w:t>
            </w:r>
          </w:p>
          <w:p w:rsidR="00B27477" w:rsidRDefault="00B274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27477" w:rsidRDefault="00F3097A">
            <w:r>
              <w:rPr>
                <w:rFonts w:ascii="Times New Roman" w:hAnsi="Times New Roman"/>
                <w:sz w:val="22"/>
                <w:szCs w:val="22"/>
              </w:rPr>
              <w:t>O tema deverá ser pautado para reunião futura.</w:t>
            </w:r>
          </w:p>
        </w:tc>
      </w:tr>
    </w:tbl>
    <w:p w:rsidR="00B27477" w:rsidRDefault="00B274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Projeto Piloto de Acreditação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Cursos e Formação Continuada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tomou conhecimento acerca dos convites recebidos, e optou por designar relator e realizar reunião técnica após o resultado das representações pretendidas, que visam </w:t>
            </w:r>
            <w:r>
              <w:rPr>
                <w:rFonts w:ascii="Times New Roman" w:hAnsi="Times New Roman"/>
                <w:sz w:val="22"/>
                <w:szCs w:val="22"/>
              </w:rPr>
              <w:t>buscar mais informações para os projetos.</w:t>
            </w:r>
          </w:p>
          <w:p w:rsidR="00B27477" w:rsidRDefault="00F3097A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041/2018 – CEF-CAU/BR</w:t>
            </w:r>
          </w:p>
          <w:p w:rsidR="00B27477" w:rsidRDefault="00F3097A">
            <w:pPr>
              <w:numPr>
                <w:ilvl w:val="0"/>
                <w:numId w:val="12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Propor ao Conselho Diretor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participação da coordenadora da CEF, conselheira Andrea Vilella, na reunião do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Canberra Accord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Acordo de Canberra, em atendimento ao convite da en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tidade; </w:t>
            </w:r>
          </w:p>
          <w:p w:rsidR="00B27477" w:rsidRDefault="00F3097A">
            <w:pPr>
              <w:numPr>
                <w:ilvl w:val="0"/>
                <w:numId w:val="12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Propor ao Conselho Diretor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participação da coordenadora da CEF, conselheira Andrea Vilella, na Convenção do AIA, uma vez que esta última não acarretaria em despesas com passagens aéreas, pois a Conselheira já estará no país por motivos pessoais;</w:t>
            </w:r>
          </w:p>
          <w:p w:rsidR="00B27477" w:rsidRDefault="00F3097A">
            <w:pPr>
              <w:numPr>
                <w:ilvl w:val="0"/>
                <w:numId w:val="12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Sugerir como estratégias de participação:</w:t>
            </w:r>
          </w:p>
          <w:p w:rsidR="00B27477" w:rsidRDefault="00F3097A">
            <w:pPr>
              <w:numPr>
                <w:ilvl w:val="1"/>
                <w:numId w:val="12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coleta de contribuições para a compatibilização do Projeto de Acreditação do CAU/BR com os parâmetros das agências acreditadoras internacionais, visando a facilitação da mobilidade profissional;</w:t>
            </w:r>
          </w:p>
          <w:p w:rsidR="00B27477" w:rsidRDefault="00F3097A">
            <w:pPr>
              <w:numPr>
                <w:ilvl w:val="1"/>
                <w:numId w:val="12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conhecimento 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acompanhamento dos programas de formação continuada oferecidos pelo AIA, como subsídio para o desenvolvimento de um projeto nacional.</w:t>
            </w:r>
          </w:p>
        </w:tc>
      </w:tr>
    </w:tbl>
    <w:p w:rsidR="00B27477" w:rsidRDefault="00B274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Manifestações Técnicas ao MEC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r>
              <w:rPr>
                <w:rFonts w:ascii="Times New Roman" w:hAnsi="Times New Roman"/>
                <w:sz w:val="22"/>
                <w:szCs w:val="22"/>
              </w:rPr>
              <w:t>A comissão analisou a proposta de readequ</w:t>
            </w:r>
            <w:r>
              <w:rPr>
                <w:rFonts w:ascii="Times New Roman" w:hAnsi="Times New Roman"/>
                <w:sz w:val="22"/>
                <w:szCs w:val="22"/>
              </w:rPr>
              <w:t>ar a forma como as manifestações são realizadas. O tema deverá ser repautado para designação de relator.</w:t>
            </w:r>
          </w:p>
        </w:tc>
      </w:tr>
    </w:tbl>
    <w:p w:rsidR="00B27477" w:rsidRDefault="00B2747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B27477" w:rsidRDefault="00F3097A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B27477" w:rsidRDefault="00B27477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1984"/>
        <w:gridCol w:w="7081"/>
        <w:gridCol w:w="40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Convite do IAB-MT ao representante das IES: Ensino na Arquitetura - percepção, riscos e desafios. 12 ou 19/05/2018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IAB-MT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r>
              <w:rPr>
                <w:rFonts w:ascii="Times New Roman" w:hAnsi="Times New Roman"/>
                <w:sz w:val="22"/>
                <w:szCs w:val="22"/>
              </w:rPr>
              <w:t>A comissão tomou conhecimento e aguardará convite formal para decisão de designação de representação, em função dos novos compromissos assumidos.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7477" w:rsidRDefault="00B27477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1984"/>
        <w:gridCol w:w="7081"/>
        <w:gridCol w:w="40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Matriz de Mobilidade e do Exercício Profissional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r>
              <w:rPr>
                <w:rFonts w:ascii="Times New Roman" w:hAnsi="Times New Roman"/>
                <w:sz w:val="22"/>
                <w:szCs w:val="22"/>
              </w:rPr>
              <w:t>O Conselheiro Humberto Mauro Andrade Cruz solicitou cópia do processo para análise e possibilidade de assumir a relatoria. Solicitou ainda verificar as IES no Amapá que estão com o cadastro em dia no SICCAU.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7477" w:rsidRDefault="00B27477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1984"/>
        <w:gridCol w:w="7081"/>
        <w:gridCol w:w="40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Agenda com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Vice Presidente e Coordenadora da Comissão de Ensino e Formação do CAU/AM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CEF-CAU/BR recebeu a visita da Arq. e Urb. Meglen Cristina Valau da Silva, que compartilhou suas preocupações quanto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qualidade do ensino de Arquitetura e Urbanismo no país.</w:t>
            </w:r>
          </w:p>
          <w:p w:rsidR="00B27477" w:rsidRDefault="00B2747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27477" w:rsidRDefault="00F3097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a política de descentralização das reuniões da CEF-CAU/BR, procurando contemplar todas as reuniões do país, o interesse da CEF-CAU/BR em fortalecer o contato com a Região Norte do Brasil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o interesse manifestado pelo CAU/AM em receber a reunião ordinária da CEF-CAU/BR.</w:t>
            </w:r>
          </w:p>
          <w:p w:rsidR="00B27477" w:rsidRDefault="00F3097A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039/2018 – CEF-CAU/BR</w:t>
            </w:r>
          </w:p>
          <w:p w:rsidR="00B27477" w:rsidRDefault="00F3097A">
            <w:pPr>
              <w:numPr>
                <w:ilvl w:val="0"/>
                <w:numId w:val="13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as providências necessárias para a organização de Seminário de Ensino e Formação, voltado a coordenações e assessorias das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CEFs-CAU/UF e coordenações de cursos de Arquitetura e Urbanismo da região Norte, com duração de um dia;</w:t>
            </w:r>
          </w:p>
          <w:p w:rsidR="00B27477" w:rsidRDefault="00F3097A">
            <w:pPr>
              <w:numPr>
                <w:ilvl w:val="0"/>
                <w:numId w:val="13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a assessoria da Comissão às providências necessárias junto ao CAU/AM para organização da reunião, e solicitar as transposições orçamentárias 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ecessárias, com a anuência da coordenadora da CEF-CAU/BR;</w:t>
            </w:r>
          </w:p>
          <w:p w:rsidR="00B27477" w:rsidRDefault="00F3097A">
            <w:pPr>
              <w:numPr>
                <w:ilvl w:val="0"/>
                <w:numId w:val="13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a Secretaria Geral da Mesa do CAU/BR para conhecimento e tomada das seguintes providências: </w:t>
            </w:r>
          </w:p>
          <w:p w:rsidR="00B27477" w:rsidRDefault="00F3097A">
            <w:pPr>
              <w:pStyle w:val="PargrafodaLista"/>
              <w:numPr>
                <w:ilvl w:val="1"/>
                <w:numId w:val="8"/>
              </w:numPr>
            </w:pPr>
            <w:r>
              <w:rPr>
                <w:rFonts w:eastAsia="Times New Roman"/>
                <w:sz w:val="22"/>
                <w:szCs w:val="22"/>
              </w:rPr>
              <w:t>Encaminhar ao Conselho Diretor solicitação para realização de reunião extraordiná</w:t>
            </w:r>
            <w:r>
              <w:rPr>
                <w:rFonts w:eastAsia="Times New Roman"/>
                <w:sz w:val="22"/>
                <w:szCs w:val="22"/>
              </w:rPr>
              <w:t>ria da CEF-CAU/BR, a ocorrer nos dias 17 e 18 de maio de 2018, na cidade de Manaus/AM, com participação de conselheiros e analistas, sendo um dia destinado a realização do Seminário de Ensino e Formação mencionado no item 1.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7477" w:rsidRDefault="00B27477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1984"/>
        <w:gridCol w:w="7081"/>
        <w:gridCol w:w="40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Atendimento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Representação do Centro Universitário do Distrito Federal - UDF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77" w:rsidRDefault="00F30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recebeu representantes do Centro Universitário do Distrito Federal – UDF, a Arq. e Urb. Denise Schuler, coordenadora do curso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Arquitetura e Urbanismo, o Sr. Gabriel Fernandes Cardoso, Coordenador Geral, e a advogada da instituição. Foi apresentado pela UDF documentação referente ao processo submetido a análise do MEC para reconhecimento do curso, comprovando que a IES apresentou </w:t>
            </w:r>
            <w:r>
              <w:rPr>
                <w:rFonts w:ascii="Times New Roman" w:hAnsi="Times New Roman"/>
                <w:sz w:val="22"/>
                <w:szCs w:val="22"/>
              </w:rPr>
              <w:t>a situação do curso de 4 anos para o MEC, e que o mesmo teve suficientes elementos para análise da questão.</w:t>
            </w:r>
          </w:p>
          <w:p w:rsidR="00B27477" w:rsidRDefault="00B274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27477" w:rsidRDefault="00F3097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 Comissão recebeu a documentação e deu encaminhamento favorável a questão, pendendo o processo da devida instrução para deliberação na próxima reu</w:t>
            </w:r>
            <w:r>
              <w:rPr>
                <w:rFonts w:ascii="Times New Roman" w:hAnsi="Times New Roman"/>
                <w:sz w:val="22"/>
                <w:szCs w:val="22"/>
              </w:rPr>
              <w:t>nião da CEF. A comissão solicitou ainda a convocação de reunião extraordinária junto da plenária para dar agilidade a deliberação do caso.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7477" w:rsidRDefault="00B274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7477" w:rsidRDefault="00B27477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4610"/>
      </w:tblGrid>
      <w:tr w:rsidR="00B27477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77" w:rsidRDefault="00B274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477" w:rsidRDefault="00F3097A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LUCIA VILELLA ARRUDA</w:t>
            </w:r>
          </w:p>
          <w:p w:rsidR="00B27477" w:rsidRDefault="00F3097A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77" w:rsidRDefault="00B274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477" w:rsidRDefault="00F3097A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:rsidR="00B27477" w:rsidRDefault="00F3097A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77" w:rsidRDefault="00B2747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27477" w:rsidRDefault="00B2747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27477" w:rsidRDefault="00F3097A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HUMBERTO MAURO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ANDRADE CRUZ</w:t>
            </w:r>
          </w:p>
          <w:p w:rsidR="00B27477" w:rsidRDefault="00F3097A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77" w:rsidRDefault="00B2747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27477" w:rsidRDefault="00B2747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27477" w:rsidRDefault="00F3097A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  <w:p w:rsidR="00B27477" w:rsidRDefault="00F3097A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77" w:rsidRDefault="00B274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477" w:rsidRDefault="00B274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477" w:rsidRDefault="00F3097A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JULIANO PAMPLONA XIMENES PONTE</w:t>
            </w:r>
          </w:p>
          <w:p w:rsidR="00B27477" w:rsidRDefault="00F3097A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77" w:rsidRDefault="00B274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477" w:rsidRDefault="00B274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477" w:rsidRDefault="00F3097A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ROSEANA DE ALMEIDA VASCONCELOS</w:t>
            </w:r>
          </w:p>
          <w:p w:rsidR="00B27477" w:rsidRDefault="00F3097A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27477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77" w:rsidRDefault="00B274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7477" w:rsidRDefault="00B274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27477" w:rsidRDefault="00F3097A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 GERHARD BEYER EHRAT</w:t>
            </w:r>
          </w:p>
          <w:p w:rsidR="00B27477" w:rsidRDefault="00F309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B27477" w:rsidRDefault="00B274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77" w:rsidRDefault="00B274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477" w:rsidRDefault="00B274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477" w:rsidRDefault="00F3097A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ANA LATERZA</w:t>
            </w:r>
          </w:p>
          <w:p w:rsidR="00B27477" w:rsidRDefault="00F309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B27477" w:rsidRDefault="00B274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7477" w:rsidRDefault="00B274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000" w:rsidRDefault="00F3097A">
      <w:pPr>
        <w:sectPr w:rsidR="00000000">
          <w:headerReference w:type="default" r:id="rId10"/>
          <w:footerReference w:type="default" r:id="rId11"/>
          <w:pgSz w:w="11900" w:h="16840"/>
          <w:pgMar w:top="1985" w:right="1268" w:bottom="1559" w:left="1559" w:header="1327" w:footer="584" w:gutter="0"/>
          <w:cols w:space="720"/>
        </w:sectPr>
      </w:pPr>
    </w:p>
    <w:p w:rsidR="00B27477" w:rsidRDefault="00B27477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B27477">
      <w:type w:val="continuous"/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097A">
      <w:r>
        <w:separator/>
      </w:r>
    </w:p>
  </w:endnote>
  <w:endnote w:type="continuationSeparator" w:id="0">
    <w:p w:rsidR="00000000" w:rsidRDefault="00F3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03" w:rsidRDefault="00F3097A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45203" w:rsidRDefault="00F3097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545203" w:rsidRDefault="00F3097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097A">
      <w:r>
        <w:rPr>
          <w:color w:val="000000"/>
        </w:rPr>
        <w:separator/>
      </w:r>
    </w:p>
  </w:footnote>
  <w:footnote w:type="continuationSeparator" w:id="0">
    <w:p w:rsidR="00000000" w:rsidRDefault="00F3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03" w:rsidRDefault="00F3097A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4F56"/>
    <w:multiLevelType w:val="multilevel"/>
    <w:tmpl w:val="A560D5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10E14B89"/>
    <w:multiLevelType w:val="multilevel"/>
    <w:tmpl w:val="1C707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D0B4D"/>
    <w:multiLevelType w:val="multilevel"/>
    <w:tmpl w:val="9A4CC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22BF"/>
    <w:multiLevelType w:val="multilevel"/>
    <w:tmpl w:val="4572B2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>
    <w:nsid w:val="42B02814"/>
    <w:multiLevelType w:val="multilevel"/>
    <w:tmpl w:val="808E5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C690EB9"/>
    <w:multiLevelType w:val="multilevel"/>
    <w:tmpl w:val="186C4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C62DC"/>
    <w:multiLevelType w:val="multilevel"/>
    <w:tmpl w:val="E07EE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4452FA9"/>
    <w:multiLevelType w:val="multilevel"/>
    <w:tmpl w:val="5A4EF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932884"/>
    <w:multiLevelType w:val="multilevel"/>
    <w:tmpl w:val="1B7CD6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6473CC"/>
    <w:multiLevelType w:val="multilevel"/>
    <w:tmpl w:val="4E72D1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B5C88"/>
    <w:multiLevelType w:val="multilevel"/>
    <w:tmpl w:val="1512C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7F43BB6"/>
    <w:multiLevelType w:val="multilevel"/>
    <w:tmpl w:val="CCD20B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2">
    <w:nsid w:val="76F859F9"/>
    <w:multiLevelType w:val="multilevel"/>
    <w:tmpl w:val="CDCA6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7477"/>
    <w:rsid w:val="00B27477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suppressAutoHyphens w:val="0"/>
      <w:textAlignment w:val="auto"/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suppressAutoHyphens w:val="0"/>
      <w:ind w:left="720"/>
      <w:textAlignment w:val="auto"/>
    </w:pPr>
    <w:rPr>
      <w:rFonts w:ascii="Times New Roman" w:eastAsia="Calibri" w:hAnsi="Times New Roman"/>
      <w:lang w:eastAsia="pt-BR"/>
    </w:rPr>
  </w:style>
  <w:style w:type="character" w:customStyle="1" w:styleId="Ttulo1Char">
    <w:name w:val="Título 1 Char"/>
    <w:basedOn w:val="Fontepargpadro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suppressAutoHyphens w:val="0"/>
      <w:textAlignment w:val="auto"/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suppressAutoHyphens w:val="0"/>
      <w:ind w:left="720"/>
      <w:textAlignment w:val="auto"/>
    </w:pPr>
    <w:rPr>
      <w:rFonts w:ascii="Times New Roman" w:eastAsia="Calibri" w:hAnsi="Times New Roman"/>
      <w:lang w:eastAsia="pt-BR"/>
    </w:rPr>
  </w:style>
  <w:style w:type="character" w:customStyle="1" w:styleId="Ttulo1Char">
    <w:name w:val="Título 1 Char"/>
    <w:basedOn w:val="Fontepargpadro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3959</Words>
  <Characters>21384</Characters>
  <Application>Microsoft Office Word</Application>
  <DocSecurity>0</DocSecurity>
  <Lines>178</Lines>
  <Paragraphs>50</Paragraphs>
  <ScaleCrop>false</ScaleCrop>
  <Company>Hewlett-Packard Company</Company>
  <LinksUpToDate>false</LinksUpToDate>
  <CharactersWithSpaces>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2019-07-18T19:13:00Z</dcterms:created>
  <dcterms:modified xsi:type="dcterms:W3CDTF">2019-07-18T19:13:00Z</dcterms:modified>
</cp:coreProperties>
</file>