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600C4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keepNext/>
              <w:spacing w:before="60" w:after="6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>
              <w:fldChar w:fldCharType="begin"/>
            </w:r>
            <w:r>
              <w:instrText xml:space="preserve"> MERGEFIELD Nº_Reunião </w:instrText>
            </w:r>
            <w:r>
              <w:fldChar w:fldCharType="separate"/>
            </w:r>
            <w:r>
              <w:t>68</w:t>
            </w:r>
            <w:r>
              <w:fldChar w:fldCharType="end"/>
            </w: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 xml:space="preserve">ª REUNIÃO </w:t>
            </w:r>
            <w:r>
              <w:fldChar w:fldCharType="begin"/>
            </w:r>
            <w:r>
              <w:instrText xml:space="preserve"> MERGEFIELD Tipo_reuniao </w:instrText>
            </w:r>
            <w:r>
              <w:fldChar w:fldCharType="separate"/>
            </w:r>
            <w:r>
              <w:t>ORDINÁRIA</w:t>
            </w:r>
            <w:r>
              <w:fldChar w:fldCharType="end"/>
            </w: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 xml:space="preserve"> CEF-CAU/BR</w:t>
            </w:r>
          </w:p>
        </w:tc>
      </w:tr>
    </w:tbl>
    <w:p w:rsidR="00600C4A" w:rsidRDefault="00600C4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600C4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spacing w:before="40" w:after="40"/>
            </w:pPr>
            <w:r>
              <w:fldChar w:fldCharType="begin"/>
            </w:r>
            <w:r>
              <w:instrText xml:space="preserve"> MERGEFIELD Dia_1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fldChar w:fldCharType="begin"/>
            </w:r>
            <w:r>
              <w:instrText xml:space="preserve"> MERGEFIELD mês_dia_1 </w:instrText>
            </w:r>
            <w:r>
              <w:fldChar w:fldCharType="separate"/>
            </w:r>
            <w:r>
              <w:t>fevereiro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fldChar w:fldCharType="begin"/>
            </w:r>
            <w:r>
              <w:instrText xml:space="preserve"> MERGEFIELD ano1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spacing w:before="40" w:after="40"/>
            </w:pPr>
            <w:r>
              <w:fldChar w:fldCharType="begin"/>
            </w:r>
            <w:r>
              <w:instrText xml:space="preserve"> MERGEFIELD Dia_2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fldChar w:fldCharType="begin"/>
            </w:r>
            <w:r>
              <w:instrText xml:space="preserve"> MERGEFIELD mês_dia_2 </w:instrText>
            </w:r>
            <w:r>
              <w:fldChar w:fldCharType="separate"/>
            </w:r>
            <w:r>
              <w:t>fevereiro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fldChar w:fldCharType="begin"/>
            </w:r>
            <w:r>
              <w:instrText xml:space="preserve"> MERGEFIELD ano1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0C4A" w:rsidRDefault="00AD2611">
            <w:pPr>
              <w:spacing w:before="40" w:after="40"/>
            </w:pPr>
            <w:r>
              <w:fldChar w:fldCharType="begin"/>
            </w:r>
            <w:r>
              <w:instrText xml:space="preserve"> MERGEFIELD Cidade </w:instrText>
            </w:r>
            <w:r>
              <w:fldChar w:fldCharType="separate"/>
            </w:r>
            <w:r>
              <w:t>Brasília</w:t>
            </w:r>
            <w:r>
              <w:fldChar w:fldCharType="end"/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>
              <w:fldChar w:fldCharType="begin"/>
            </w:r>
            <w:r>
              <w:instrText xml:space="preserve"> MERGEFIELD UF </w:instrText>
            </w:r>
            <w:r>
              <w:fldChar w:fldCharType="separate"/>
            </w:r>
            <w:r>
              <w:t>DF</w:t>
            </w:r>
            <w:r>
              <w:fldChar w:fldCharType="end"/>
            </w:r>
          </w:p>
        </w:tc>
      </w:tr>
    </w:tbl>
    <w:p w:rsidR="00600C4A" w:rsidRDefault="00600C4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600C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Lucia Vilella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600C4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600C4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</w:t>
            </w:r>
            <w:r>
              <w:t xml:space="preserve"> Cruz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600C4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600C4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600C4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 xml:space="preserve">Roseana de </w:t>
            </w:r>
            <w:r>
              <w:t>Almeida Vasconcelos</w:t>
            </w:r>
            <w: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4A" w:rsidRDefault="00AD2611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fldChar w:fldCharType="begin"/>
            </w:r>
            <w:r>
              <w:instrText xml:space="preserve"> MERGEFIELD Analista_técnico </w:instrText>
            </w:r>
            <w:r>
              <w:fldChar w:fldCharType="separate"/>
            </w:r>
            <w:r>
              <w:t>Paul Gerhard Beyer Ehrat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4A" w:rsidRDefault="00600C4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r>
              <w:fldChar w:fldCharType="begin"/>
            </w:r>
            <w:r>
              <w:instrText xml:space="preserve"> MERGEFIELD Analista_técnica </w:instrText>
            </w:r>
            <w:r>
              <w:fldChar w:fldCharType="separate"/>
            </w:r>
            <w:r>
              <w:t>Ana Laterza</w:t>
            </w:r>
            <w:r>
              <w:fldChar w:fldCharType="end"/>
            </w: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fldChar w:fldCharType="begin"/>
            </w:r>
            <w:r>
              <w:instrText xml:space="preserve"> MERGEFIELD Nº_reuniao_anterior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>
              <w:fldChar w:fldCharType="begin"/>
            </w:r>
            <w:r>
              <w:instrText xml:space="preserve"> MERGEFIELD tipo_reuniao_anterior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houve aprovação de súmula uma vez que a súmula da reunião anterior foi aprovada na própria reunião. </w:t>
            </w: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Apresentação dos Trabalhos da CEF 2017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dinâmica de trabalho.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feita apresentação dos trabalhos da CEF em 2017 para contextualizar os novos conselheiros acerca das competências e atividades de rotina da comissão. Também foram apresentados aspectos técnicos de funcionamento da comissão e form</w:t>
            </w:r>
            <w:r>
              <w:rPr>
                <w:rFonts w:ascii="Times New Roman" w:hAnsi="Times New Roman"/>
                <w:sz w:val="22"/>
                <w:szCs w:val="22"/>
              </w:rPr>
              <w:t>a de compartilhamento de documentos.</w:t>
            </w:r>
          </w:p>
          <w:p w:rsidR="00600C4A" w:rsidRDefault="00600C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 e Assessoria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Manifestações Técnicas – Andamento da Contratação (TPCD).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foi informada da situação do processo, das alterações quanto às competências dos co</w:t>
            </w:r>
            <w:r>
              <w:rPr>
                <w:rFonts w:ascii="Times New Roman" w:hAnsi="Times New Roman"/>
                <w:sz w:val="22"/>
                <w:szCs w:val="22"/>
              </w:rPr>
              <w:t>nselhos frente ao Decreto 9235/2017 e dos encaminhamentos de ajuste ao TPCD encaminhados através do Memorando 002/2018 CEF-CAU/BR.</w:t>
            </w:r>
          </w:p>
          <w:p w:rsidR="00600C4A" w:rsidRDefault="00600C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 e Assessoria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Anteprojeto de Compilação das Resoluções de Registro </w:t>
            </w:r>
          </w:p>
          <w:p w:rsidR="00600C4A" w:rsidRDefault="00600C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0C4A" w:rsidRDefault="00AD261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comissão foi informada da situação do processo e prazo esgotado para a devolução do mesmo pela assessoria jurídica. Foi solicitada previsão de retorno da análise do Anteprojeto Compilação Resolução de Registro (protocolo SICCAU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424982/2016) para a Assessor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ia Jurídica através do Memorando 005/2018 CEF-CAU/BR.</w:t>
            </w:r>
          </w:p>
          <w:p w:rsidR="00600C4A" w:rsidRDefault="00600C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600C4A" w:rsidRDefault="00AD2611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IES Estrangeira via OA/PT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CAU/DF, CAU/MG e CAU/SP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apresentou e aprovou a </w:t>
            </w:r>
            <w:r>
              <w:rPr>
                <w:rFonts w:ascii="Times New Roman" w:hAnsi="Times New Roman"/>
                <w:sz w:val="22"/>
                <w:szCs w:val="22"/>
              </w:rPr>
              <w:t>metodologia de fluxo de processos com a comissão, ficando definido que os casos com situação peculiar ou omissa aos normativos terão designação de relator, e os demais serão analisados pela comissão durante as reuniões: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011/</w:t>
            </w:r>
            <w:r>
              <w:fldChar w:fldCharType="begin"/>
            </w:r>
            <w:r>
              <w:instrText xml:space="preserve"> MERGEFIELD an</w:instrText>
            </w:r>
            <w:r>
              <w:instrText xml:space="preserve">o1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CEF – 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1"/>
              </w:numPr>
              <w:ind w:left="709" w:hanging="425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Deferir os requerimentos de registro definitivo dos profissionais elencados a seguir, com data de expiração vinculada à validade do Registro Nacional de Estrangeiro (RNE), nos termos da Resolução CAU/BR nº 26/2012:</w:t>
            </w:r>
          </w:p>
          <w:p w:rsidR="00600C4A" w:rsidRDefault="00AD2611">
            <w:pPr>
              <w:jc w:val="both"/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4362446" cy="2133596"/>
                  <wp:effectExtent l="0" t="0" r="4" b="0"/>
                  <wp:docPr id="4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46" cy="213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C4A" w:rsidRDefault="00AD2611">
            <w:pPr>
              <w:numPr>
                <w:ilvl w:val="0"/>
                <w:numId w:val="1"/>
              </w:numPr>
              <w:ind w:left="709" w:hanging="425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do CAU/BR, solicitando a restituição dos respectivos processos aos CAU/UF de origem para a concessão do título de Arquiteto e Urbanista e atribuições previstas no artigo 2º da Lei 12.378/2010.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issionais Diplomados no Brasil 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apresentou e aprovou a metodologia de fluxo de processos com a comissão, informando a necessidade de esclarecimentos a serem definidos pela comissão: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005/2018 – CEF-CAU/BR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 o registro em caráter provisório terá validade máxima de um ano contado a partir da data da colação de grau informada no certificado de conclusão de curso emitido pela instituição, prorrogável por igual períod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mediante requerimento do interessado nos termos do art. 5º, §2º-A da Resolução nº 18/2012;</w:t>
            </w:r>
          </w:p>
          <w:p w:rsidR="00600C4A" w:rsidRDefault="00AD26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Ao requerimento de que trata o item 1 desta Deliberação deverá ser anexada a solicitação de diploma protocolada junto a Instituição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Ensino;</w:t>
            </w:r>
          </w:p>
          <w:p w:rsidR="00600C4A" w:rsidRDefault="00AD2611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 todos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requerimentos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registros de profissionais portadores de certificados de conclusão ou diplomas de graduação em Arquitetura e Urbanismo, obtidos em instituições brasileiras de ensino superior com cursos reconhecidos, deverão ser objeto de deliberação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de Ensino e Formação do CAU/UF;</w:t>
            </w:r>
          </w:p>
          <w:p w:rsidR="00600C4A" w:rsidRDefault="00AD26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de Ensino e Formação do CAU/UF deve estabelecer metodologia própria visando o atendimento ao disposto no item 3 em conformidade com a legislação de registro profissional;</w:t>
            </w:r>
          </w:p>
          <w:p w:rsidR="00600C4A" w:rsidRDefault="00AD26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conteúdo desta deliberação com as assessorias das Comissões de Ensino e Formação dos CAU/UF, por intermédio do conselheiro representante das IES;</w:t>
            </w:r>
          </w:p>
          <w:p w:rsidR="00600C4A" w:rsidRDefault="00AD2611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seguintes providências: a) Inf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ormar a Presidência e Comissão de Ensino e Formação dos CAU/UF acerca do conteúdo desta deliberação.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questões MEC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610951 – Anhanguera São José:</w:t>
            </w: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008/2018 – CEF-CAU/BR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seguintes providências: a) Encaminhar ofício à Presidência do CAU/SP, solicitando o encaminhamento para a Comissão responsável, informando do 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nteúdo desta deliberação, enviando cópia do Ofício 512/2017/CGSO-TECNICOS/DISUP/SERES-MEC e anexos, para que seja dado conhecimento aos interessados.</w:t>
            </w:r>
          </w:p>
          <w:p w:rsidR="00600C4A" w:rsidRDefault="00600C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630091 – Denuncia UNINCOR:</w:t>
            </w: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009/2018 – CEF-CAU/BR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 o posicio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namento do CAU/BR a respeito de cursos de Arquitetura e Urbanismo integralmente a distância é expressa por meio da DPOBR_0063_09-2017-2;</w:t>
            </w:r>
          </w:p>
          <w:p w:rsidR="00600C4A" w:rsidRDefault="00AD2611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seguintes providências: a) Encaminhar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spacho para a Ouvidoria do CAU/BR informando do conteúdo desta deliberação, enviando cópia do Ofício 480/2017/CGSE/DISUP/SERES/SERES-MEC e anexos, para que seja dado conhecimento aos interessados. b) Informar a Presidência do CAU/MG acerca das providências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desta deliberação.</w:t>
            </w:r>
          </w:p>
          <w:p w:rsidR="00600C4A" w:rsidRDefault="00600C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625586 – Denuncia FAMEG:</w:t>
            </w: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010/2018 – CEF-CAU/BR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 CAU/SC a comunicar os interessados da existência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seus históricos escolares de informação incongruente com a carga horária mínima estabelecida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pela legislação vigente, e aguardar os esclarecimentos da Secretaria de Regulação do Ensino Superior - SERES/MEC a respeito do fato para dar prosseguimento aos processos de registro profissional.</w:t>
            </w:r>
          </w:p>
          <w:p w:rsidR="00600C4A" w:rsidRDefault="00AD261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 CAU/SC que através da sua Comissão de Ensino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Formação busque informações junto a coordenação do curso acerca do fato, de se tratar de caso isolado ou não, informando a CEF-CAU/BR.</w:t>
            </w:r>
          </w:p>
          <w:p w:rsidR="00600C4A" w:rsidRDefault="00AD261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seguintes providências: a) Informar à Pres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idência do CAU/SC acerca das providências desta deliberação.b) Encaminhar ofício à Diretoria de Supervisão da Educação Superior – DISUP da Secretaria de Regulação do Ensino Superior - SERES/MEC, encaminhando os documentos apresentados pelo CAU/SC para fund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amentação da denúncia, solicitando providências e manifestação.</w:t>
            </w:r>
          </w:p>
          <w:p w:rsidR="00600C4A" w:rsidRDefault="00600C4A">
            <w:pPr>
              <w:ind w:left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Atribuições Profissionais – Docência e Coordenação de Curso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CEF-CAU/BR, CEP-CAU/BR, CAUs/UF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autoSpaceDE w:val="0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625583/2017 -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Enviar ofício </w:t>
            </w:r>
            <w:r>
              <w:rPr>
                <w:rFonts w:ascii="Times New Roman" w:hAnsi="Times New Roman"/>
                <w:sz w:val="22"/>
                <w:szCs w:val="22"/>
              </w:rPr>
              <w:t>ao CAU/BR para questionar à CEF-CAU/BR como devem ser as tratativas com as Instituições de Ensino de Arquitetura e Urbanismo para a aplicação dos artigos 5º, 7º e 45 da Lei 12378/2010 referente às atividades de Ensino, Pesquisa e Extensão frente ao que est</w:t>
            </w:r>
            <w:r>
              <w:rPr>
                <w:rFonts w:ascii="Times New Roman" w:hAnsi="Times New Roman"/>
                <w:sz w:val="22"/>
                <w:szCs w:val="22"/>
              </w:rPr>
              <w:t>abelece o artigo 69 do Decreto Federal nº 5.773/2006:</w:t>
            </w: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006/2018 – CEF-CAU/BR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6"/>
              </w:numPr>
              <w:autoSpaceDE w:val="0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à Presidência do CAU/BR para verificação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tomada das seguintes providências: a)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parecer da Assessoria Jurídica 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CAU/BR sobre a exigência de registro profissional e emissão do respectivo RRT para a atividade de docência em disciplinas de Arquitetura e Urbanismo; e b) Solicitar parecer da Assessoria Jurídica do CAU/BR sobre o caráter privativo de arquiteto e urbanista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a atuação como coordenador de curso de Arquitetura e Urbanismo, e a exigência de registro profissional e emissão do respectivo RRT para a atividade de coordenação de curso de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600C4A" w:rsidRDefault="00600C4A">
            <w:pPr>
              <w:autoSpaceDE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0C4A" w:rsidRDefault="00600C4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tabs>
                <w:tab w:val="left" w:pos="484"/>
                <w:tab w:val="left" w:pos="2249"/>
              </w:tabs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Em paralelo, visando minimizar a restrição acerc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da questão do pagamento de taxas por parte dos coordenadores de curso, a CEF-CAU/BR solicitou enviar questionamento para a Comissão de Exercício Profissional e Comissão de Planejamento e Finanças acerca da possibilidade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Desconto no valor de anuidade 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RRT para Coordenadores de Curso de Arquitetura e Urbanismo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O questionamento foi enviado por meio dos memorandos 003 e 004 CEF-CAU/BR, e respectivos protocolos SICCAU nº 644634/2018 e nº 644639/2018.</w:t>
            </w:r>
          </w:p>
          <w:p w:rsidR="00600C4A" w:rsidRDefault="00600C4A">
            <w:pPr>
              <w:autoSpaceDE w:val="0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SICCAU 622583/2017 – Classificação Brasileira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Ocupações 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 / MTE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007/2018 – CEF-CAU/BR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Reiterar a posição desta comissão quanto a necessidade de unificação dos títulos da ocupação de “Arquiteto e Urbanista” (2141) sob título único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“arquiteto e urbanista”, conforme estabelecido em lei, na Classificação Brasileira de Ocupações do Ministério do Trabalho.</w:t>
            </w:r>
          </w:p>
          <w:p w:rsidR="00600C4A" w:rsidRDefault="00AD261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e anexos à Presidência do CAU/BR para conhecimento, análise da relevância da questão levantada, sugerindo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encaminhamento da pauta para a Assessoria Institucional e Parlamentar do CAU/BR, permanecendo esta comissão à disposição.</w:t>
            </w:r>
          </w:p>
          <w:p w:rsidR="00600C4A" w:rsidRDefault="00600C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Grupos Temáticos e Relatores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Andrea Vilella 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apresentada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sugestão de Grupos Temáticos de trabalho, proposto pela assessoria e alinhado com a coordenadora da comissão, designando relatores prioritários para os principais temas:</w:t>
            </w:r>
          </w:p>
          <w:p w:rsidR="00600C4A" w:rsidRDefault="00600C4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GRUPO TEMÁTICO 1</w:t>
            </w:r>
          </w:p>
          <w:p w:rsidR="00600C4A" w:rsidRDefault="00AD261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Articulação Externa e Relacionamento com o Setor de Ensino</w:t>
            </w:r>
          </w:p>
          <w:p w:rsidR="00600C4A" w:rsidRDefault="00600C4A">
            <w:pPr>
              <w:pStyle w:val="NormalWeb"/>
              <w:shd w:val="clear" w:color="auto" w:fill="C6D9F1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Relator</w:t>
            </w:r>
            <w:r>
              <w:rPr>
                <w:rStyle w:val="Forte"/>
                <w:rFonts w:ascii="Arial" w:hAnsi="Arial" w:cs="Arial"/>
                <w:color w:val="000000"/>
              </w:rPr>
              <w:t>as titulares: Conselheiras Andrea Vilella e Roseana de Almeida Vasconcelos</w:t>
            </w:r>
          </w:p>
          <w:p w:rsidR="00600C4A" w:rsidRDefault="00600C4A">
            <w:pPr>
              <w:pStyle w:val="NormalWeb"/>
              <w:shd w:val="clear" w:color="auto" w:fill="FFFFFF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Relacionamento com as IES (ATIVIDADE – Art. 61 Lei 12378/2010)</w:t>
            </w:r>
          </w:p>
          <w:p w:rsidR="00600C4A" w:rsidRDefault="00600C4A">
            <w:pPr>
              <w:pStyle w:val="NormalWeb"/>
              <w:shd w:val="clear" w:color="auto" w:fill="C6D9F1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Conselheira Andrea Vilella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Aproximação com as CEF/UF, IES e alunos, representação em eventos e difusão do trabalho d</w:t>
            </w:r>
            <w:r>
              <w:rPr>
                <w:rFonts w:ascii="Times New Roman" w:hAnsi="Times New Roman"/>
              </w:rPr>
              <w:t>a CEF e do CAU;</w:t>
            </w:r>
          </w:p>
          <w:p w:rsidR="00600C4A" w:rsidRDefault="00AD261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 xml:space="preserve">Manifestações Técnicas (PROJETO – Em cumprimento ao Acordo Firmado entre o CAU/BR e o MEC) </w:t>
            </w:r>
          </w:p>
          <w:p w:rsidR="00600C4A" w:rsidRDefault="00600C4A">
            <w:pPr>
              <w:pStyle w:val="NormalWeb"/>
              <w:shd w:val="clear" w:color="auto" w:fill="C6D9F1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Relatora: Conselheira Andrea Vilella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processo de contratação de avaliadores está em fase de finalização, e deverá ser designado coordenador entre</w:t>
            </w:r>
            <w:r>
              <w:rPr>
                <w:rFonts w:ascii="Times New Roman" w:hAnsi="Times New Roman"/>
              </w:rPr>
              <w:t xml:space="preserve"> os avaliadores, e fiscal dentro da CEF, para acompanhar o desenvolvimento do processo. Num prazo de 1 a 2 anos, deverá ser revisto o termo para contratação e desenvolvimento do processo, bem como novo edital de chamada para avaliadores.</w:t>
            </w:r>
          </w:p>
          <w:p w:rsidR="00600C4A" w:rsidRDefault="00AD261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Acompanhamento das</w:t>
            </w:r>
            <w:r>
              <w:rPr>
                <w:rStyle w:val="Forte"/>
                <w:rFonts w:ascii="Arial" w:hAnsi="Arial" w:cs="Arial"/>
                <w:color w:val="000000"/>
              </w:rPr>
              <w:t xml:space="preserve"> Demandas junto ao MEC/SERES/CNE/INEP (AÇÃO)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Análise e instrução de demandas, denúncias e questões junto ao Ministério de Educação e demais organismos relacionados ao setor educacional;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Acompanhamento, em conjunto com a Assessoria Institucional e </w:t>
            </w:r>
            <w:r>
              <w:rPr>
                <w:rFonts w:ascii="Times New Roman" w:hAnsi="Times New Roman"/>
              </w:rPr>
              <w:t>Parlamentar, dos Projetos de Lei e Normativos em trâmite no governo federal.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no Grupo de Trabalho O Ensino na Visão dos Conselhos Profissionais;</w:t>
            </w:r>
          </w:p>
          <w:p w:rsidR="00600C4A" w:rsidRDefault="00AD2611">
            <w:pPr>
              <w:pStyle w:val="NormalWeb"/>
              <w:shd w:val="clear" w:color="auto" w:fill="C6D9F1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Ensino a Distância (AÇÃO)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Análise e Instrução de denúncias e questionamento acerca de cursos </w:t>
            </w:r>
            <w:r>
              <w:rPr>
                <w:rFonts w:ascii="Times New Roman" w:hAnsi="Times New Roman"/>
              </w:rPr>
              <w:lastRenderedPageBreak/>
              <w:t>ofert</w:t>
            </w:r>
            <w:r>
              <w:rPr>
                <w:rFonts w:ascii="Times New Roman" w:hAnsi="Times New Roman"/>
              </w:rPr>
              <w:t>ados na modalidade a distância;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Manutenção do posicionamento do CAU com relação a cursos ofertados na modalidade a distância junto aos órgãos competentes;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Participação no Grupo de Trabalho O Ensino na Visão dos Conselhos Profissionais;  </w:t>
            </w:r>
          </w:p>
          <w:p w:rsidR="00600C4A" w:rsidRDefault="00600C4A">
            <w:pPr>
              <w:pStyle w:val="NormalWeb"/>
              <w:shd w:val="clear" w:color="auto" w:fill="FFFFFF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D6E3BC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GRUPO TEMÁTICO 2</w:t>
            </w:r>
          </w:p>
          <w:p w:rsidR="00600C4A" w:rsidRDefault="00AD2611">
            <w:pPr>
              <w:pStyle w:val="NormalWeb"/>
              <w:shd w:val="clear" w:color="auto" w:fill="D6E3BC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 xml:space="preserve">Cadastro de Cursos e Registro Profissional </w:t>
            </w:r>
          </w:p>
          <w:p w:rsidR="00600C4A" w:rsidRDefault="00600C4A">
            <w:pPr>
              <w:pStyle w:val="NormalWeb"/>
              <w:shd w:val="clear" w:color="auto" w:fill="D6E3BC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D6E3BC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Relatores titulares: Conselheiros Juliano Pamplona Ximenes Pontes e Humberto Mauro Andrade Cruz</w:t>
            </w:r>
          </w:p>
          <w:p w:rsidR="00600C4A" w:rsidRDefault="00600C4A">
            <w:pPr>
              <w:pStyle w:val="NormalWeb"/>
              <w:shd w:val="clear" w:color="auto" w:fill="FFFFFF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D6E3BC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Cadastro de Cursos (AÇÃO – Art. 4º Lei 12378/2010)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Atualmente o Cadastro de Cursos é feito com base em deliberaçõe</w:t>
            </w:r>
            <w:r>
              <w:rPr>
                <w:rFonts w:ascii="Times New Roman" w:hAnsi="Times New Roman"/>
              </w:rPr>
              <w:t>s, e não tem Resolução Específica. A Regulamentação implica em diversos reflexos que devem ser estudados, desde a própria questão da necessidade do RRT do coordenador do curso a necessidade de atualização dos sistemas (SICCAU).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Análise e instrução de quest</w:t>
            </w:r>
            <w:r>
              <w:rPr>
                <w:rFonts w:ascii="Times New Roman" w:hAnsi="Times New Roman"/>
              </w:rPr>
              <w:t>ões relacionadas a Anotação de Cursos de Pós graduação, incluindo a Engenharia de Segurança do Trabalho;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Análise do tema de cadastro de cursos oferecidos na modalidade a Distância.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Matriz de Mobilidade e do Exercício Profissional (PROJETO): A ferramenta es</w:t>
            </w:r>
            <w:r>
              <w:rPr>
                <w:rFonts w:ascii="Times New Roman" w:hAnsi="Times New Roman"/>
              </w:rPr>
              <w:t>tá praticamente implantada mas sua utilização depende de normativo conjunto com o cadastro de cursos, como ferramenta de incentivo ao cadastro.</w:t>
            </w:r>
          </w:p>
          <w:p w:rsidR="00600C4A" w:rsidRDefault="00AD2611">
            <w:pPr>
              <w:pStyle w:val="NormalWeb"/>
              <w:shd w:val="clear" w:color="auto" w:fill="D6E3BC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Registro Profissional de Diplomados no Brasil e no Exterior (AÇÃO – Art. 5º Lei 12378/2010)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Anteprojeto de </w:t>
            </w:r>
            <w:r>
              <w:rPr>
                <w:rFonts w:ascii="Times New Roman" w:hAnsi="Times New Roman"/>
              </w:rPr>
              <w:t>Compilação das Resoluções de Registro se encontra em análise na Assessoria Jurídica, e o próximo passo é nova revisão da CEF/BR para envio para consulta pública, e posterior encaminhamento de proposta de Resolução ao Plenário;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Análise e instrução dos proce</w:t>
            </w:r>
            <w:r>
              <w:rPr>
                <w:rFonts w:ascii="Times New Roman" w:hAnsi="Times New Roman"/>
              </w:rPr>
              <w:t>ssos de Registro de Estrangeiro;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Análise e instrução de denúncias de diplomas Falsos (carece de normativo para o fluxo, a ser elaborado com o Jurídico e difundido aos CAU/UF);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Análise e instrução de denúncias acerca de irregularidades em diplomas e process</w:t>
            </w:r>
            <w:r>
              <w:rPr>
                <w:rFonts w:ascii="Times New Roman" w:hAnsi="Times New Roman"/>
              </w:rPr>
              <w:t>os de graduação;</w:t>
            </w:r>
          </w:p>
          <w:p w:rsidR="00600C4A" w:rsidRDefault="00600C4A">
            <w:pPr>
              <w:pStyle w:val="NormalWeb"/>
              <w:shd w:val="clear" w:color="auto" w:fill="FFFFFF"/>
              <w:ind w:left="720"/>
              <w:jc w:val="both"/>
            </w:pPr>
          </w:p>
          <w:p w:rsidR="00600C4A" w:rsidRDefault="00AD2611">
            <w:pPr>
              <w:pStyle w:val="NormalWeb"/>
              <w:shd w:val="clear" w:color="auto" w:fill="E5B8B7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 xml:space="preserve">GRUPO TEMÁTICO 3 </w:t>
            </w:r>
          </w:p>
          <w:p w:rsidR="00600C4A" w:rsidRDefault="00AD2611">
            <w:pPr>
              <w:pStyle w:val="NormalWeb"/>
              <w:shd w:val="clear" w:color="auto" w:fill="E5B8B7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 xml:space="preserve">Qualidade e Articulação com o Exercício Profissional </w:t>
            </w:r>
          </w:p>
          <w:p w:rsidR="00600C4A" w:rsidRDefault="00600C4A">
            <w:pPr>
              <w:pStyle w:val="NormalWeb"/>
              <w:shd w:val="clear" w:color="auto" w:fill="E5B8B7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E5B8B7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Relatores titulares: Conselheiro Hélio Cavalcanti da Costa Lima e Conselheira Joselia da Silva Alves</w:t>
            </w:r>
          </w:p>
          <w:p w:rsidR="00600C4A" w:rsidRDefault="00600C4A">
            <w:pPr>
              <w:pStyle w:val="NormalWeb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E5B8B7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Acreditação de Cursos (PROJETO)</w:t>
            </w:r>
          </w:p>
          <w:p w:rsidR="00600C4A" w:rsidRDefault="00600C4A">
            <w:pPr>
              <w:pStyle w:val="NormalWeb"/>
              <w:shd w:val="clear" w:color="auto" w:fill="E5B8B7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E5B8B7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DESIGNAR RELATOR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anteprojeto</w:t>
            </w:r>
            <w:r>
              <w:rPr>
                <w:rFonts w:ascii="Times New Roman" w:hAnsi="Times New Roman"/>
              </w:rPr>
              <w:t xml:space="preserve"> carece de complementação dos instrumentos de avaliação, anexos e providências de viabilização, poderá vir a ser viabilizado em conjunto com CAU/SP;</w:t>
            </w:r>
          </w:p>
          <w:p w:rsidR="00600C4A" w:rsidRDefault="00AD2611">
            <w:pPr>
              <w:pStyle w:val="NormalWeb"/>
              <w:shd w:val="clear" w:color="auto" w:fill="E5B8B7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 xml:space="preserve">Interlocução entre Ensino, Pesquisa e Extensão com a Atividade Profissional, Residência Técnica e Educação </w:t>
            </w:r>
            <w:r>
              <w:rPr>
                <w:rStyle w:val="Forte"/>
                <w:rFonts w:ascii="Arial" w:hAnsi="Arial" w:cs="Arial"/>
                <w:color w:val="000000"/>
              </w:rPr>
              <w:t>Continuada (AÇÃO)</w:t>
            </w:r>
          </w:p>
          <w:p w:rsidR="00600C4A" w:rsidRDefault="00600C4A">
            <w:pPr>
              <w:pStyle w:val="NormalWeb"/>
              <w:shd w:val="clear" w:color="auto" w:fill="E5B8B7"/>
              <w:spacing w:before="2" w:after="2"/>
              <w:jc w:val="both"/>
            </w:pPr>
          </w:p>
          <w:p w:rsidR="00600C4A" w:rsidRDefault="00AD2611">
            <w:pPr>
              <w:pStyle w:val="NormalWeb"/>
              <w:shd w:val="clear" w:color="auto" w:fill="E5B8B7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Relator: Conselheiro Hélio Cavalcanti da Costa Lima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Construção de Normativo (Proposta de Grupo de Trabalho em conjunto com a CEP) de regulamentação de Empresa Junior, Ateliê/Escritório Modelo, </w:t>
            </w:r>
            <w:r>
              <w:rPr>
                <w:rFonts w:ascii="Times New Roman" w:hAnsi="Times New Roman"/>
              </w:rPr>
              <w:lastRenderedPageBreak/>
              <w:t>etc.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Estudo para construção de proposta para</w:t>
            </w:r>
            <w:r>
              <w:rPr>
                <w:rFonts w:ascii="Times New Roman" w:hAnsi="Times New Roman"/>
              </w:rPr>
              <w:t xml:space="preserve"> Educação Continuada;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Construção de referencial de iniciativas de integração com o segmento estudantil;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Análise e Instrução em conjunto com a CEP de questões relacionadas ao exercício profissional na área de Ensino;</w:t>
            </w:r>
          </w:p>
          <w:p w:rsidR="00600C4A" w:rsidRDefault="00AD2611">
            <w:pPr>
              <w:pStyle w:val="NormalWeb"/>
              <w:shd w:val="clear" w:color="auto" w:fill="E5B8B7"/>
              <w:spacing w:before="2" w:after="2"/>
              <w:jc w:val="both"/>
            </w:pPr>
            <w:r>
              <w:rPr>
                <w:rStyle w:val="Forte"/>
                <w:rFonts w:ascii="Arial" w:hAnsi="Arial" w:cs="Arial"/>
                <w:color w:val="000000"/>
              </w:rPr>
              <w:t>Atribuições Profissionais e Interlocução</w:t>
            </w:r>
            <w:r>
              <w:rPr>
                <w:rStyle w:val="Forte"/>
                <w:rFonts w:ascii="Arial" w:hAnsi="Arial" w:cs="Arial"/>
                <w:color w:val="000000"/>
              </w:rPr>
              <w:t xml:space="preserve"> com a CEP (AÇÃO)</w:t>
            </w:r>
          </w:p>
          <w:p w:rsidR="00600C4A" w:rsidRDefault="00AD2611">
            <w:pPr>
              <w:pStyle w:val="NormalWeb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Análise e Instrução de questionamento sobre Atribuições Profissionais, para subsídio dos normativos e fiscalização da CEP;</w:t>
            </w:r>
          </w:p>
          <w:p w:rsidR="00600C4A" w:rsidRDefault="00600C4A">
            <w:pPr>
              <w:pStyle w:val="NormalWeb"/>
              <w:shd w:val="clear" w:color="auto" w:fill="FFFFFF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de Atribuições Profissionais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Juliano Pamplona Ximenes Pontes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Juliano Pamplona Ximenes Pontes foi designado relator dos seguintes processos: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SICCAU 447386/2016 -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Questionamento sobre atribuição. Solicitante: Andrejean Senn - Empresa Ecovale Tratamento de Resíduos Urbanos (CNPJ: 82.326.</w:t>
            </w:r>
            <w:r>
              <w:rPr>
                <w:rFonts w:ascii="Times New Roman" w:hAnsi="Times New Roman"/>
                <w:sz w:val="22"/>
                <w:szCs w:val="22"/>
              </w:rPr>
              <w:t>828/0001-07);</w:t>
            </w:r>
          </w:p>
          <w:p w:rsidR="00600C4A" w:rsidRDefault="00AD261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SICCAU 617850/2017 - </w:t>
            </w:r>
            <w:r>
              <w:rPr>
                <w:rFonts w:ascii="Times New Roman" w:hAnsi="Times New Roman"/>
                <w:sz w:val="22"/>
                <w:szCs w:val="22"/>
              </w:rPr>
              <w:t>Solicitar a manifestação da CEF- CAU/BR sobre o tema, esclarecendo se a competência e habilidades para a realização das atividades de projeto e execução de movimentação de terra/terraplanagem, drenagem e pavimentação es</w:t>
            </w:r>
            <w:r>
              <w:rPr>
                <w:rFonts w:ascii="Times New Roman" w:hAnsi="Times New Roman"/>
                <w:sz w:val="22"/>
                <w:szCs w:val="22"/>
              </w:rPr>
              <w:t>tão contempladas nos conteúdos programáticos de ensino e formação da Arquitetura e Urbanismo e se há limites para a realização destas atividades pelos profissionais arquitetos e urbanistas;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irá enviar o material coletado acerca dos temas, e i</w:t>
            </w:r>
            <w:r>
              <w:rPr>
                <w:rFonts w:ascii="Times New Roman" w:hAnsi="Times New Roman"/>
                <w:sz w:val="22"/>
                <w:szCs w:val="22"/>
              </w:rPr>
              <w:t>nstrução para elaboração do relatório e voto, para ser apresentado na próxima reunião.</w:t>
            </w:r>
          </w:p>
          <w:p w:rsidR="00600C4A" w:rsidRDefault="00600C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600C4A" w:rsidRDefault="00AD2611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VII - ORDEM DO DIA (SEXTA 02/02)</w:t>
      </w:r>
    </w:p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 e SICCAU 363532/2016 Cadastramento de Cursos.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apresentou e aprovou a metodologia de fluxo de processos com a comissão, informando a necessidade de revisão de alguns pontos devido à publicação do Decreto 9235, de 15 de dezembro de 2017: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</w:rPr>
            </w:pP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001/2018 –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CEF-CAU/BR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somente poderão ser registrados os egressos de cursos de graduação em Arquitetura e Urbanismo que tenham portaria de reconhecimento do curso publicada ou cálculo de tempestividade aprovado pela CEF-CAU/BR, e que estejam em dia com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 renovações de reconhecimento nos termos do art. 11 do Decreto nº 9235/2017;</w:t>
            </w:r>
          </w:p>
          <w:p w:rsidR="00600C4A" w:rsidRDefault="00AD261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 a possibilidade da extensão de reconhecimento de curso presencial em determinado Município somente se estenderá às unidades educacionais localizadas no mesmo Mun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icípio após consulta, via ofício, à SERES-MEC ou publicação de informação sobre o reconhecimento no e-MEC;</w:t>
            </w:r>
          </w:p>
          <w:p w:rsidR="00600C4A" w:rsidRDefault="00AD261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seguinte procedimento para o fluxo de solicitação de cálculo de tempestividade:</w:t>
            </w:r>
          </w:p>
          <w:p w:rsidR="00600C4A" w:rsidRDefault="00AD2611">
            <w:pPr>
              <w:numPr>
                <w:ilvl w:val="1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Poderá motivar solicitação de cálculo de tempestividade, 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termos desta deliberação, a solicitação de cadastro no CAU/BR ou o registro de egressos no CAU/UF, de curso que não tenha a portaria de reconhecimento publicada:</w:t>
            </w:r>
          </w:p>
          <w:p w:rsidR="00600C4A" w:rsidRDefault="00AD2611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quando identificada a necessidade pelo CAU/UF;</w:t>
            </w:r>
          </w:p>
          <w:p w:rsidR="00600C4A" w:rsidRDefault="00AD2611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quando solicitado pela IES;</w:t>
            </w:r>
          </w:p>
          <w:p w:rsidR="00600C4A" w:rsidRDefault="00AD2611">
            <w:pPr>
              <w:numPr>
                <w:ilvl w:val="1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CEF-CAU/UF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 a solicitação à CEF-CAU/BR, formalizando-a por protocolo SICCAU ou e-mail, informando obrigatoriamente:</w:t>
            </w:r>
          </w:p>
          <w:p w:rsidR="00600C4A" w:rsidRDefault="00AD2611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Nome, sigla e número e-MEC do curso;</w:t>
            </w:r>
          </w:p>
          <w:p w:rsidR="00600C4A" w:rsidRDefault="00AD2611">
            <w:pPr>
              <w:numPr>
                <w:ilvl w:val="1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CEF-CAU/BR procederá ao cálculo de tempestividade conforme normativo vigente e se manifestará por mei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de Deliberação da Comissão;</w:t>
            </w:r>
          </w:p>
          <w:p w:rsidR="00600C4A" w:rsidRDefault="00AD2611">
            <w:pPr>
              <w:numPr>
                <w:ilvl w:val="1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Caso o resultado seja negativo, o CAU/UF deverá comunicar o coordenador do curso, de que o cadastro e o registro de egressos somente poderá ser efetuado após a publicação da portaria de reconhecimento do curso; </w:t>
            </w:r>
          </w:p>
          <w:p w:rsidR="00600C4A" w:rsidRDefault="00AD2611">
            <w:pPr>
              <w:numPr>
                <w:ilvl w:val="1"/>
                <w:numId w:val="9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Caso o resulta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seja positivo, o CAU/UF deverá comunicar o coordenador do curso, a respeito da possibilidade de registro dos egressos, e para prosseguimento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cadastro do curso;</w:t>
            </w:r>
          </w:p>
          <w:p w:rsidR="00600C4A" w:rsidRDefault="00AD2611">
            <w:pPr>
              <w:numPr>
                <w:ilvl w:val="1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Após Deliberação da CEF-CAU/BR, a sua respectiva Assessoria atualizará as informações no B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anco de Dados da CEF-CAU/BR;</w:t>
            </w:r>
          </w:p>
          <w:p w:rsidR="00600C4A" w:rsidRDefault="00AD2611">
            <w:pPr>
              <w:numPr>
                <w:ilvl w:val="1"/>
                <w:numId w:val="9"/>
              </w:num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 resultado da metodologia de conferência da regularidade do curso mediante cálculo de tempestividade será automaticamente substituído assim que a portaria de reconhecimento do curso for publicada.</w:t>
            </w:r>
          </w:p>
          <w:p w:rsidR="00600C4A" w:rsidRDefault="00AD261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Considerar a data de início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curso para fins de Cálculo de Tempestividade a data informada pela IES no e-MEC;</w:t>
            </w:r>
          </w:p>
          <w:p w:rsidR="00600C4A" w:rsidRDefault="00AD261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tela constante do anexo desta Deliberação como instrumento para a conferência da regularidade de cursos por meio das prerrogativas do Decreto 9235/2017 e do art.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31 da Portaria Normativa MEC nº 23/2017, que deverá ser acompanhada dos prints das páginas do e-MEC, constando a data da impressão da imagem, contento os seguintes dados: identificação do curso (número e-MEC), data de início do curso, número e data do prot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ocolo de reconhecimento do curso;</w:t>
            </w:r>
          </w:p>
          <w:p w:rsidR="00600C4A" w:rsidRDefault="00AD261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o documento supramencionado será de preenchimento exclusivo da assessoria da CEF-CAU/BR e poderá ser inserido no SICCAU em substituição à Portaria de Reconhecimento de curso, tanto para fins de registro profissional qu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anto para fins de cadastro de cursos;</w:t>
            </w:r>
          </w:p>
          <w:p w:rsidR="00600C4A" w:rsidRDefault="00AD261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Revogar o disposto nas Deliberações 21/2015, 30/2015 e 41/2016 CEF-CAU/BR, e o disposto no item 2 da Deliberação 42/2016 CEF-CAU/BR;</w:t>
            </w:r>
          </w:p>
          <w:p w:rsidR="00600C4A" w:rsidRDefault="00AD261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issões de Ensino e Formação dos CAU/UF, por intermédio do conselheiro representante das IES;</w:t>
            </w:r>
          </w:p>
          <w:p w:rsidR="00600C4A" w:rsidRDefault="00AD261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CAU/UF acerca do conteúdo desta deliberação.</w:t>
            </w:r>
          </w:p>
          <w:p w:rsidR="00600C4A" w:rsidRDefault="00600C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002/2018 – CEF-CAU/BR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a inserção de dados de curso de Arquitetura e Urbanismo, para fins de cumprimento do Art. 4º da Lei 12378/2010, será feito independente do cadastro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mesmo, sendo o curso considerado apenas como INSERIDO; </w:t>
            </w:r>
          </w:p>
          <w:p w:rsidR="00600C4A" w:rsidRDefault="00AD261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o curso de Arquitetura e Urbanismo, para ser considerado CADASTRADO junto ao CAU/BR, deverá ter portaria de reconhecimento do curso publicada ou cálculo de tempestividade aprovado pela CEF-CAU/BR,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seguir o disposto nas Deliberações 63/2015, 64/2015 e 65/2015 CEF-CAU/BR e respectivos tutoriais anexos, sendo o SICCAU o meio de comunicação oficial para finalidade de cadastro;</w:t>
            </w:r>
          </w:p>
          <w:p w:rsidR="00600C4A" w:rsidRDefault="00AD261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o acesso a funcionalidades e programas oferecidos pelo CAU/BR e CAUs/U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F, tais como importação de Lista de Egressos, Matriz de Mobilidade e do Exercício Profissional, Acreditação de Cursos deverão ser disponibilizados apenas a curso CADASTRADO, e sugerir que iniciativas de premiação de cursos ou egressos promovidos pelos 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 deverão ser disponibilizados apenas o curso CADASTRADO;</w:t>
            </w:r>
          </w:p>
          <w:p w:rsidR="00600C4A" w:rsidRDefault="00AD261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tela constante do Anexo I desta Deliberação como instrumento para a análise, inserção e alteração de dados de Cadastro de Cursos, a serem atualizados pela Assessoria da CEF-CAU/BR em Banc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de Dados próprio e disponibilizados aos CAU/UF após Deliberação da CEF-CAU/BR;</w:t>
            </w:r>
          </w:p>
          <w:p w:rsidR="00600C4A" w:rsidRDefault="00AD261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Fluxo Ilustrativo do Cadastro de Cursos constante do Anexo II desta Deliberação;</w:t>
            </w:r>
          </w:p>
          <w:p w:rsidR="00600C4A" w:rsidRDefault="00AD261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Revogar o disposto na Deliberação 51/2016 CEF-CAU/BR e o disposto no item 2 da Delib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eração 42/2016 CEF-CAU/BR;</w:t>
            </w:r>
          </w:p>
          <w:p w:rsidR="00600C4A" w:rsidRDefault="00AD261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600C4A" w:rsidRDefault="00AD261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conhecimento e tomada das seguintes providências: a) Informar a Presidência e Comissão de Ensino e Formação dos CAU/UF acerca do conteúdo desta deliberação.</w:t>
            </w:r>
          </w:p>
          <w:p w:rsidR="00600C4A" w:rsidRDefault="00600C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003/2018 – CEF-CAU/BR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os campos, critérios de inserção e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disponibilização dos dados dos Cursos de Arquitetura e Urbanismo a serem inseridos no banco de dados do IGEO-CAU/BR, conforme Anexo I desta deliberação;</w:t>
            </w:r>
          </w:p>
          <w:p w:rsidR="00600C4A" w:rsidRDefault="00AD261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Aprovar, sem prejuízo das atividades executadas via SICCAU, a migração do banco de dados local dos curs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de Arquitetura e Urbanismo para o IGEO-CAU/BR, a ser viabilizada pela Assessoria da CEF-CAU/BR e a CORGEO-CAU/BR;</w:t>
            </w:r>
          </w:p>
          <w:p w:rsidR="00600C4A" w:rsidRDefault="00AD261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que as alterações no Banco de Dados somente poderão ser efetuadas pela Assessoria da CEF-CAU/BR, mediante autorização de usuário 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pecífica disponibilizada pela CORGEO-CAU/BR;</w:t>
            </w:r>
          </w:p>
          <w:p w:rsidR="00600C4A" w:rsidRDefault="00AD261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disponibilização pela CORGEO-CAU/BR de usuário e senha de acesso para consulta aos dados públicos do banco de dados para os CAU/UF, mediante solicitação dos mesmos via GAD direcionado a CORGEO;</w:t>
            </w:r>
          </w:p>
          <w:p w:rsidR="00600C4A" w:rsidRDefault="00AD261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Assessoria da CEF-CAU/BR proceda, a cada três meses, a extração e conferência dos dados de cursos de Arquitetura e Urbanismo inseridos no e-MEC, informando a CEF-CAU/BR e as CEF-CAU/UF da extinção e da existência de novos cursos;</w:t>
            </w:r>
          </w:p>
          <w:p w:rsidR="00600C4A" w:rsidRDefault="00AD261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Presidência do CAU/BR para conhecimento e tomada das seguintes providências: a) Informar a Presidência e Comissão de Ensino e Formação dos CAU/UF acerca do conteúdo desta deliberação. b) Solicitar à CORGEO, via CSC, a cooperação na execução das atividades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sob sua competência citadas nos itens anteriores.</w:t>
            </w:r>
          </w:p>
          <w:p w:rsidR="00600C4A" w:rsidRDefault="00600C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0C4A" w:rsidRDefault="00600C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Situação curso de Arquitetura e Urbanismo UNIAN Vila Mariana: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optou por oficiar a SERES-MEC a respeito da questão da extinção e alteração do curso e solicitou as assessorias da CEF-CAU/BR e </w:t>
            </w:r>
            <w:r>
              <w:rPr>
                <w:rFonts w:ascii="Times New Roman" w:hAnsi="Times New Roman"/>
                <w:sz w:val="22"/>
                <w:szCs w:val="22"/>
              </w:rPr>
              <w:t>CEF-CAU/SP que trabalhem em conjunto na reunião de documentação para instrução do processo e deliberação na próxima reunião. O tema deverá ser repautado.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004/2018 – CEF-CAU/BR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Reiterar que somente poderão ser registrados os egress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de cursos de graduação em Arquitetura e Urbanismo que tenham portaria de reconhecimento do curso publicada ou cálculo de tempestividade aprovado pela CEF-CAU/BR, e que estejam em dia com as renovações de reconhecimento nos termos do art. 11 do Decreto 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235/2017;</w:t>
            </w:r>
          </w:p>
          <w:p w:rsidR="00600C4A" w:rsidRDefault="00AD2611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cálculos de tempestividade e instruções sobre registro de egressos de cursos de Arquitetura e Urbanismo conforme tabela constante do Anexo I desta deliberação;</w:t>
            </w:r>
          </w:p>
          <w:p w:rsidR="00600C4A" w:rsidRDefault="00AD2611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rquitetura e Urbanismo conforme tabela constante do Anexo II desta deliberação;</w:t>
            </w:r>
          </w:p>
          <w:p w:rsidR="00600C4A" w:rsidRDefault="00AD2611">
            <w:pPr>
              <w:numPr>
                <w:ilvl w:val="0"/>
                <w:numId w:val="1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o compartilhamento do conteúdo desta deliberação com as assessorias das Comissões de Ensino e Formação dos CAU/UF, por intermédio do conselheiro representante das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IES;</w:t>
            </w:r>
          </w:p>
          <w:p w:rsidR="00600C4A" w:rsidRDefault="00AD2611">
            <w:pPr>
              <w:numPr>
                <w:ilvl w:val="0"/>
                <w:numId w:val="1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seguintes providências: a) Informar a Presidência e Comissão de Ensino e Formação dos CAU/UF acerca do conteúdo desta deliberação.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1058384 – FACC – Con</w:t>
            </w:r>
            <w:r>
              <w:rPr>
                <w:rFonts w:ascii="Times New Roman" w:hAnsi="Times New Roman"/>
                <w:sz w:val="22"/>
                <w:szCs w:val="22"/>
              </w:rPr>
              <w:t>córdia/SC;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20107 – UNISC – Caçador/SC;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1138990 – UNORP – São José do Rio Preto/SP;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1191407 – UNIARP – Caçador/SC;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1059394 – FAMA – Anápolis/GO;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1174106 – TECSOMA – Paracatu/MG;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1332113 – FSP – Avaré/SP;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1258833 – UNIP – Araraquara/SP;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1215463 – UNIP – Arar</w:t>
            </w:r>
            <w:r>
              <w:rPr>
                <w:rFonts w:ascii="Times New Roman" w:hAnsi="Times New Roman"/>
                <w:sz w:val="22"/>
                <w:szCs w:val="22"/>
              </w:rPr>
              <w:t>aquara/SP;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1156001 – UNIP Anchieta – São Paulo/SP (SICCAU 420943/2016);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1156002 – UNIP Sto. Antonio – São Paulo/SP (SICCAU 420943/2016);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1128259 – UNIAN – São Paulo/SP;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1204391 – FRBA – Salvador/BA;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1070583 – FRBA – Salvador/BA;</w:t>
            </w:r>
          </w:p>
          <w:p w:rsidR="00600C4A" w:rsidRDefault="00AD261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1184923 – UNESA – </w:t>
            </w:r>
            <w:r>
              <w:rPr>
                <w:rFonts w:ascii="Times New Roman" w:hAnsi="Times New Roman"/>
                <w:sz w:val="22"/>
                <w:szCs w:val="22"/>
              </w:rPr>
              <w:t>Petropolis/RJ (SICCAU 618479/2018).</w:t>
            </w:r>
          </w:p>
          <w:p w:rsidR="00600C4A" w:rsidRDefault="00AD261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realizada a apresentação do Anteprojeto de Acreditação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Cursos, com a participação do CAU/SP, e estudadas as formas de operacionalização do Projeto, e participação das partes.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Ponderou-se que a primeira atividade necessária é a compilação e realização de estudos para elaboração dos instrumentos de avaliaçã</w:t>
            </w:r>
            <w:r>
              <w:rPr>
                <w:rFonts w:ascii="Times New Roman" w:hAnsi="Times New Roman"/>
                <w:sz w:val="22"/>
                <w:szCs w:val="22"/>
              </w:rPr>
              <w:t>o faltantes, atividade que poderá ser realizada em conjunto com o CAU/SP. O CAU/SP sinalizou a possibilidade de alocar profissional para a atividade, sob a coordenação da CEF-CAU/BR, através de acordo de cooperação.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execução do projeto piloto seria </w:t>
            </w:r>
            <w:r>
              <w:rPr>
                <w:rFonts w:ascii="Times New Roman" w:hAnsi="Times New Roman"/>
                <w:sz w:val="22"/>
                <w:szCs w:val="22"/>
              </w:rPr>
              <w:t>realizada num segundo momento, sendo que os convites poderiam ser realizados no segundo semestre de 2018, bem como os relatórios de auto-avaliação, e as avaliações in-loco poderiam ser realizadas no ano de 2019, otimizando a execução orçamentária.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Desta f</w:t>
            </w:r>
            <w:r>
              <w:rPr>
                <w:rFonts w:ascii="Times New Roman" w:hAnsi="Times New Roman"/>
                <w:sz w:val="22"/>
                <w:szCs w:val="22"/>
              </w:rPr>
              <w:t>orma, no final de 2019 o termo de referência e projeto de resolução definitiva poderia ser enviado ao plenário do CAU/BR.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Aventou-se ainda a possibilidade de articulação com outros CAU/UF que desejassem receber acreditação em uma IES de seu estado, sem co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mprometer o critério geral de amostragem do projeto original, a ser absorvido pelo CAU/BR. 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momento oportuno esta proposta poderá ser levada ao Fórum de Presidentes ou Plenária Ampliada.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C4A" w:rsidRDefault="00600C4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600C4A" w:rsidRDefault="00AD2611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600C4A" w:rsidRDefault="00600C4A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719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- Encontro de Presidentes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foi informada e deliberou acerca do convite recebido pela CEF, reiterado pessoalmente durante a reunião pelo Presidente do CAU/SP, José Roberto Geraldine Jr., para participação da coordenadora da comissão no En</w:t>
            </w:r>
            <w:r>
              <w:rPr>
                <w:rFonts w:ascii="Times New Roman" w:hAnsi="Times New Roman"/>
                <w:sz w:val="22"/>
                <w:szCs w:val="22"/>
              </w:rPr>
              <w:t>contro de Presidentes do CAU, convidada ainda a apresentar painel da CEF a respeito de temas de interesse pautados:</w:t>
            </w:r>
          </w:p>
          <w:p w:rsidR="00600C4A" w:rsidRDefault="00AD2611">
            <w:pPr>
              <w:pStyle w:val="PargrafodaLista"/>
              <w:ind w:hanging="360"/>
              <w:jc w:val="both"/>
              <w:rPr>
                <w:rFonts w:eastAsia="Cambria"/>
                <w:i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eastAsia="en-US"/>
              </w:rPr>
              <w:t>-   Cenário atual do ensino de arquitetura e urbanismo no Brasil (normativos, regulamentação do MEC, CNE e CAU/BR, EAD, posicionamento da AB</w:t>
            </w:r>
            <w:r>
              <w:rPr>
                <w:rFonts w:eastAsia="Cambria"/>
                <w:i/>
                <w:sz w:val="22"/>
                <w:szCs w:val="22"/>
                <w:lang w:eastAsia="en-US"/>
              </w:rPr>
              <w:t>MES, denúncias e normas técnicas do MEC, manifestações técnicas e acreditação de cursos);</w:t>
            </w:r>
          </w:p>
          <w:p w:rsidR="00600C4A" w:rsidRDefault="00AD2611">
            <w:pPr>
              <w:pStyle w:val="PargrafodaLista"/>
              <w:ind w:hanging="360"/>
              <w:jc w:val="both"/>
              <w:rPr>
                <w:rFonts w:eastAsia="Cambria"/>
                <w:i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eastAsia="en-US"/>
              </w:rPr>
              <w:t>-    Experiências de interlocução com os estudantes (CAU universitário, jovem, Júnior...) -aspectos operacionais, legais e éticos dessas empresas;</w:t>
            </w:r>
          </w:p>
          <w:p w:rsidR="00600C4A" w:rsidRDefault="00AD2611">
            <w:pPr>
              <w:pStyle w:val="PargrafodaLista"/>
              <w:ind w:hanging="360"/>
              <w:jc w:val="both"/>
              <w:rPr>
                <w:rFonts w:eastAsia="Cambria"/>
                <w:i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eastAsia="en-US"/>
              </w:rPr>
              <w:t>-    Ações integrad</w:t>
            </w:r>
            <w:r>
              <w:rPr>
                <w:rFonts w:eastAsia="Cambria"/>
                <w:i/>
                <w:sz w:val="22"/>
                <w:szCs w:val="22"/>
                <w:lang w:eastAsia="en-US"/>
              </w:rPr>
              <w:t>as.</w:t>
            </w:r>
          </w:p>
          <w:p w:rsidR="00600C4A" w:rsidRDefault="00600C4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012/</w:t>
            </w:r>
            <w:r>
              <w:fldChar w:fldCharType="begin"/>
            </w:r>
            <w:r>
              <w:instrText xml:space="preserve"> MERGEFIELD ano1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 – 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à Presidência do CAU/BR, para verificação e convocação da coordenadora da Comissão de Ensino e Formação do CAU/BR, conselheira Andrea Vilella para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seguinte evento:</w:t>
            </w:r>
          </w:p>
          <w:p w:rsidR="00600C4A" w:rsidRDefault="00AD2611">
            <w:pPr>
              <w:pStyle w:val="NormalWeb"/>
              <w:shd w:val="clear" w:color="auto" w:fill="FFFFFF"/>
              <w:spacing w:before="2" w:after="2"/>
              <w:ind w:left="1069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Encontro de Presidentes</w:t>
            </w:r>
          </w:p>
          <w:p w:rsidR="00600C4A" w:rsidRDefault="00AD2611">
            <w:pPr>
              <w:pStyle w:val="NormalWeb"/>
              <w:shd w:val="clear" w:color="auto" w:fill="FFFFFF"/>
              <w:spacing w:before="2" w:after="2"/>
              <w:ind w:left="1069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Data: 08/02/2018 (9h às 18h)</w:t>
            </w:r>
          </w:p>
          <w:p w:rsidR="00600C4A" w:rsidRDefault="00AD2611">
            <w:pPr>
              <w:pStyle w:val="NormalWeb"/>
              <w:shd w:val="clear" w:color="auto" w:fill="FFFFFF"/>
              <w:spacing w:before="2" w:after="2"/>
              <w:ind w:left="1069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Local: Hotel Novotel São Paulo Jaraguá Conventions</w:t>
            </w:r>
          </w:p>
          <w:p w:rsidR="00600C4A" w:rsidRDefault="00AD2611">
            <w:pPr>
              <w:pStyle w:val="NormalWeb"/>
              <w:shd w:val="clear" w:color="auto" w:fill="FFFFFF"/>
              <w:spacing w:before="2" w:after="2"/>
              <w:ind w:left="1069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Endereço: Rua Martins Fontes, 71 – Centro – São Paulo SP</w:t>
            </w:r>
          </w:p>
          <w:p w:rsidR="00600C4A" w:rsidRDefault="00AD2611">
            <w:pPr>
              <w:pStyle w:val="NormalWeb"/>
              <w:shd w:val="clear" w:color="auto" w:fill="FFFFFF"/>
              <w:spacing w:before="2" w:after="2"/>
              <w:ind w:left="1069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Centro de Custo: 1.01.01.004 </w:t>
            </w:r>
          </w:p>
          <w:p w:rsidR="00600C4A" w:rsidRDefault="00600C4A">
            <w:pPr>
              <w:pStyle w:val="NormalWeb"/>
              <w:shd w:val="clear" w:color="auto" w:fill="FFFFFF"/>
              <w:spacing w:before="2" w:after="2"/>
              <w:ind w:left="1069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600C4A" w:rsidRDefault="00600C4A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590"/>
        <w:gridCol w:w="4607"/>
      </w:tblGrid>
      <w:tr w:rsidR="00600C4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1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- Experiências de interlocução com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os estudantes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CAU/PB, PLANEJ, CEF-CAU/BR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1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4A" w:rsidRDefault="00AD261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 relator informou do trabalho que está desenvolvendo a respeito do tema. Informou da experiência e acompanhamento da questão junto ao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/PB, e do convite recebido para participação de evento intitulado PLANEJ-DAY a convite da PLANEJ – Empresa Junior de Arquitetura e Urbanismo e Engenharia Civil – a ser realizado nos dias 05 e 06 de fevereiro de 2018, com o tema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“Articulações Profissionais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Entre Arquitetura e Engenharia: O Papel Das Empresas Juniores na Formação De Uma Cultura De Colaboração Inter Profissional”</w:t>
            </w:r>
            <w:r>
              <w:rPr>
                <w:rFonts w:ascii="Times New Roman" w:hAnsi="Times New Roman"/>
                <w:sz w:val="22"/>
                <w:szCs w:val="22"/>
              </w:rPr>
              <w:t>, na UFPB, João Pessoa, PB.</w:t>
            </w:r>
          </w:p>
          <w:p w:rsidR="00600C4A" w:rsidRDefault="00600C4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Ciente da importância de aproximação e conhecimento desta experiência, e considerando a não incidência </w:t>
            </w:r>
            <w:r>
              <w:rPr>
                <w:rFonts w:ascii="Times New Roman" w:hAnsi="Times New Roman"/>
                <w:sz w:val="22"/>
                <w:szCs w:val="22"/>
              </w:rPr>
              <w:t>de custos para o CAU, a CEF-CAU/BR aprovou a participação do Conselheiro Hélio Cavalcanti da Costa Lima no evento representando a CEF-CAU/BR.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Considerando ainda a relação deste tema com o de Educação Continuada, que está sendo tratado também na Comissão d</w:t>
            </w:r>
            <w:r>
              <w:rPr>
                <w:rFonts w:ascii="Times New Roman" w:hAnsi="Times New Roman"/>
                <w:sz w:val="22"/>
                <w:szCs w:val="22"/>
              </w:rPr>
              <w:t>e Relações Internacionais, na qual o conselheiro Hélio é relator, a CEF-CAU/BR o designou também oficialmente como relator do tema no âmbito da CEF, aprovando sua convocação para reunião técnica conjunta com a CRI, conforme segue:</w:t>
            </w:r>
          </w:p>
          <w:p w:rsidR="00600C4A" w:rsidRDefault="00600C4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013/</w:t>
            </w:r>
            <w:r>
              <w:fldChar w:fldCharType="begin"/>
            </w:r>
            <w:r>
              <w:instrText xml:space="preserve"> MERGEFIELD ano1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 – CAU/BR</w:t>
            </w:r>
          </w:p>
          <w:p w:rsidR="00600C4A" w:rsidRDefault="00AD261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00C4A" w:rsidRDefault="00AD2611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do CAU/BR, para verificação e convocação do coordenador-adjunto da Comissão de Ensino e Formação do CAU/BR, conselheiro Hélio Cavalcanti da Costa Lima para o seguinte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evento:</w:t>
            </w:r>
          </w:p>
          <w:p w:rsidR="00600C4A" w:rsidRDefault="00AD2611">
            <w:pPr>
              <w:pStyle w:val="NormalWeb"/>
              <w:shd w:val="clear" w:color="auto" w:fill="FFFFFF"/>
              <w:spacing w:before="2" w:after="2"/>
              <w:ind w:left="1069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Reunião Técnica</w:t>
            </w:r>
          </w:p>
          <w:p w:rsidR="00600C4A" w:rsidRDefault="00AD2611">
            <w:pPr>
              <w:pStyle w:val="NormalWeb"/>
              <w:shd w:val="clear" w:color="auto" w:fill="FFFFFF"/>
              <w:spacing w:before="2" w:after="2"/>
              <w:ind w:left="1069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Data: 21/02/2018 (9h às 18h)</w:t>
            </w:r>
          </w:p>
          <w:p w:rsidR="00600C4A" w:rsidRDefault="00AD2611">
            <w:pPr>
              <w:pStyle w:val="NormalWeb"/>
              <w:shd w:val="clear" w:color="auto" w:fill="FFFFFF"/>
              <w:spacing w:before="2" w:after="2"/>
              <w:ind w:left="1069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Local: Sede do CAU/BR</w:t>
            </w:r>
          </w:p>
          <w:p w:rsidR="00600C4A" w:rsidRDefault="00AD2611">
            <w:pPr>
              <w:pStyle w:val="NormalWeb"/>
              <w:shd w:val="clear" w:color="auto" w:fill="FFFFFF"/>
              <w:spacing w:before="2" w:after="2"/>
              <w:ind w:left="1069"/>
              <w:jc w:val="both"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Centro de Custo: 1.01.01.004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(apenas para a diária extra gerada, o deslocamento e passagem será utilizado centro de cursos da Plenária) </w:t>
            </w:r>
          </w:p>
          <w:p w:rsidR="00600C4A" w:rsidRDefault="00600C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apresentação de relatório acerca do tema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deverá ser pautado para a próxima reunião.</w:t>
            </w:r>
          </w:p>
          <w:p w:rsidR="00600C4A" w:rsidRDefault="00600C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4A" w:rsidRDefault="00600C4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LUCIA VILELLA</w:t>
            </w:r>
            <w: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ARRUDA</w:t>
            </w: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4A" w:rsidRDefault="00600C4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4A" w:rsidRDefault="00600C4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</w:tr>
      <w:tr w:rsidR="00600C4A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4A" w:rsidRDefault="00600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Analista_técnico </w:instrText>
            </w:r>
            <w:r>
              <w:fldChar w:fldCharType="separate"/>
            </w:r>
            <w:r>
              <w:t>PAUL GERHARD BEYER EHRAT</w:t>
            </w:r>
            <w:r>
              <w:fldChar w:fldCharType="end"/>
            </w:r>
          </w:p>
          <w:p w:rsidR="00600C4A" w:rsidRDefault="00AD26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C4A" w:rsidRDefault="00AD2611">
            <w:pPr>
              <w:jc w:val="center"/>
            </w:pPr>
            <w:r>
              <w:fldChar w:fldCharType="begin"/>
            </w:r>
            <w:r>
              <w:instrText xml:space="preserve"> MERGEFIELD Analista_técnica </w:instrText>
            </w:r>
            <w:r>
              <w:fldChar w:fldCharType="separate"/>
            </w:r>
            <w:r>
              <w:t>ANA LATERZA</w:t>
            </w:r>
            <w:r>
              <w:fldChar w:fldCharType="end"/>
            </w:r>
          </w:p>
          <w:p w:rsidR="00600C4A" w:rsidRDefault="00AD26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600C4A" w:rsidRDefault="00600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0C4A" w:rsidRDefault="00600C4A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600C4A">
      <w:headerReference w:type="default" r:id="rId9"/>
      <w:footerReference w:type="default" r:id="rId10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2611">
      <w:r>
        <w:separator/>
      </w:r>
    </w:p>
  </w:endnote>
  <w:endnote w:type="continuationSeparator" w:id="0">
    <w:p w:rsidR="00000000" w:rsidRDefault="00AD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DE" w:rsidRDefault="00AD261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85ADE" w:rsidRDefault="00AD261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785ADE" w:rsidRDefault="00AD261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2611">
      <w:r>
        <w:rPr>
          <w:color w:val="000000"/>
        </w:rPr>
        <w:separator/>
      </w:r>
    </w:p>
  </w:footnote>
  <w:footnote w:type="continuationSeparator" w:id="0">
    <w:p w:rsidR="00000000" w:rsidRDefault="00AD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DE" w:rsidRDefault="00AD261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40"/>
    <w:multiLevelType w:val="multilevel"/>
    <w:tmpl w:val="D97AC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D975CA"/>
    <w:multiLevelType w:val="multilevel"/>
    <w:tmpl w:val="3120F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260"/>
    <w:multiLevelType w:val="multilevel"/>
    <w:tmpl w:val="F3B04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060BB4"/>
    <w:multiLevelType w:val="multilevel"/>
    <w:tmpl w:val="41E0A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DF5B29"/>
    <w:multiLevelType w:val="multilevel"/>
    <w:tmpl w:val="FA8215BC"/>
    <w:lvl w:ilvl="0">
      <w:start w:val="1"/>
      <w:numFmt w:val="decimal"/>
      <w:lvlText w:val="%1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09BC"/>
    <w:multiLevelType w:val="multilevel"/>
    <w:tmpl w:val="5D7264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9220AFB"/>
    <w:multiLevelType w:val="multilevel"/>
    <w:tmpl w:val="D638C9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31865"/>
    <w:multiLevelType w:val="multilevel"/>
    <w:tmpl w:val="0EB6B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8C03E3"/>
    <w:multiLevelType w:val="multilevel"/>
    <w:tmpl w:val="9D9AC03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73D4"/>
    <w:multiLevelType w:val="multilevel"/>
    <w:tmpl w:val="A83C7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37570E7"/>
    <w:multiLevelType w:val="multilevel"/>
    <w:tmpl w:val="350EE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3C85986"/>
    <w:multiLevelType w:val="multilevel"/>
    <w:tmpl w:val="654A6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00578"/>
    <w:multiLevelType w:val="multilevel"/>
    <w:tmpl w:val="16E6C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E852469"/>
    <w:multiLevelType w:val="multilevel"/>
    <w:tmpl w:val="0CF21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0C4A"/>
    <w:rsid w:val="00600C4A"/>
    <w:rsid w:val="00A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6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6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4647</Words>
  <Characters>25096</Characters>
  <Application>Microsoft Office Word</Application>
  <DocSecurity>0</DocSecurity>
  <Lines>209</Lines>
  <Paragraphs>59</Paragraphs>
  <ScaleCrop>false</ScaleCrop>
  <Company>Hewlett-Packard Company</Company>
  <LinksUpToDate>false</LinksUpToDate>
  <CharactersWithSpaces>29684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2018-02-15T19:30:00Z</cp:lastPrinted>
  <dcterms:created xsi:type="dcterms:W3CDTF">2019-07-18T18:57:00Z</dcterms:created>
  <dcterms:modified xsi:type="dcterms:W3CDTF">2019-07-18T18:57:00Z</dcterms:modified>
</cp:coreProperties>
</file>