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420" cy="10675336"/>
            <wp:effectExtent l="0" t="0" r="0" b="0"/>
            <wp:wrapNone/>
            <wp:docPr id="1" name="image1.jpeg" descr="C:\Users\flavia.costa\AppData\Local\Microsoft\Windows\INetCache\Content.Outlook\RNG8J2SU\Reprogramação-com-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before="64"/>
        <w:ind w:left="0" w:right="168" w:firstLine="0"/>
        <w:jc w:val="right"/>
        <w:rPr>
          <w:b/>
          <w:sz w:val="18"/>
        </w:rPr>
      </w:pPr>
      <w:r>
        <w:rPr>
          <w:b/>
          <w:spacing w:val="-4"/>
          <w:sz w:val="18"/>
        </w:rPr>
        <w:t>1</w:t>
      </w:r>
      <w:r>
        <w:rPr>
          <w:spacing w:val="-4"/>
          <w:sz w:val="18"/>
        </w:rPr>
        <w:t>/</w:t>
      </w:r>
      <w:r>
        <w:rPr>
          <w:b/>
          <w:spacing w:val="-4"/>
          <w:sz w:val="18"/>
        </w:rPr>
        <w:t>34</w:t>
      </w:r>
    </w:p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920" w:bottom="0" w:left="1300" w:right="680"/>
        </w:sectPr>
      </w:pPr>
    </w:p>
    <w:p>
      <w:pPr>
        <w:pStyle w:val="Heading4"/>
        <w:spacing w:before="14"/>
        <w:ind w:left="118"/>
      </w:pPr>
      <w:r>
        <w:rPr/>
        <w:t>SEPS/EQ.</w:t>
      </w:r>
      <w:r>
        <w:rPr>
          <w:spacing w:val="-4"/>
        </w:rPr>
        <w:t> </w:t>
      </w:r>
      <w:r>
        <w:rPr/>
        <w:t>Edifício</w:t>
      </w:r>
      <w:r>
        <w:rPr>
          <w:spacing w:val="-5"/>
        </w:rPr>
        <w:t> </w:t>
      </w:r>
      <w:r>
        <w:rPr/>
        <w:t>General</w:t>
      </w:r>
      <w:r>
        <w:rPr>
          <w:spacing w:val="-2"/>
        </w:rPr>
        <w:t> </w:t>
      </w:r>
      <w:r>
        <w:rPr/>
        <w:t>Alencastro</w:t>
      </w:r>
      <w:r>
        <w:rPr>
          <w:spacing w:val="-5"/>
        </w:rPr>
        <w:t> </w:t>
      </w:r>
      <w:r>
        <w:rPr/>
        <w:t>702/902;</w:t>
      </w:r>
      <w:r>
        <w:rPr>
          <w:spacing w:val="-1"/>
        </w:rPr>
        <w:t> </w:t>
      </w:r>
      <w:r>
        <w:rPr/>
        <w:t>Conjunto</w:t>
      </w:r>
      <w:r>
        <w:rPr>
          <w:spacing w:val="-4"/>
        </w:rPr>
        <w:t> </w:t>
      </w:r>
      <w:r>
        <w:rPr/>
        <w:t>B,</w:t>
      </w:r>
      <w:r>
        <w:rPr>
          <w:spacing w:val="-2"/>
        </w:rPr>
        <w:t> </w:t>
      </w:r>
      <w:r>
        <w:rPr/>
        <w:t>Bloco</w:t>
      </w:r>
      <w:r>
        <w:rPr>
          <w:spacing w:val="-5"/>
        </w:rPr>
        <w:t> </w:t>
      </w:r>
      <w:r>
        <w:rPr/>
        <w:t>A;</w:t>
      </w:r>
      <w:r>
        <w:rPr>
          <w:spacing w:val="-3"/>
        </w:rPr>
        <w:t> </w:t>
      </w:r>
      <w:r>
        <w:rPr>
          <w:spacing w:val="-2"/>
        </w:rPr>
        <w:t>Brasília/DF.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372" w:lineRule="auto" w:before="172"/>
        <w:ind w:left="118" w:right="6030" w:firstLine="0"/>
        <w:jc w:val="left"/>
        <w:rPr>
          <w:b/>
          <w:sz w:val="24"/>
        </w:rPr>
      </w:pPr>
      <w:r>
        <w:rPr>
          <w:b/>
          <w:sz w:val="24"/>
        </w:rPr>
        <w:t>Nadia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Somekh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(SP)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|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Presidente Conselho Diretor</w:t>
      </w:r>
    </w:p>
    <w:p>
      <w:pPr>
        <w:pStyle w:val="BodyText"/>
        <w:tabs>
          <w:tab w:pos="3522" w:val="left" w:leader="none"/>
        </w:tabs>
        <w:spacing w:line="372" w:lineRule="auto"/>
        <w:ind w:left="118" w:right="1407"/>
      </w:pPr>
      <w:r>
        <w:rPr/>
        <w:t>Daniela Pareja Garcia Sarmento*</w:t>
      </w:r>
      <w:r>
        <w:rPr>
          <w:spacing w:val="80"/>
          <w:w w:val="150"/>
        </w:rPr>
        <w:t> </w:t>
      </w:r>
      <w:r>
        <w:rPr/>
        <w:t>| Coord. da Comissão de Planejamento e Finanças Patricia Silva Luz de Macedo*</w:t>
        <w:tab/>
        <w:t>| Coord. Comissão de Exercício Profissional Ednezer Rodrigues Flores</w:t>
        <w:tab/>
        <w:t>|</w:t>
      </w:r>
      <w:r>
        <w:rPr>
          <w:spacing w:val="-6"/>
        </w:rPr>
        <w:t> </w:t>
      </w:r>
      <w:r>
        <w:rPr/>
        <w:t>Coord.</w:t>
      </w:r>
      <w:r>
        <w:rPr>
          <w:spacing w:val="-7"/>
        </w:rPr>
        <w:t> </w:t>
      </w:r>
      <w:r>
        <w:rPr/>
        <w:t>Comissão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Organização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Administração Fabricio Lopes Santos</w:t>
        <w:tab/>
        <w:t>| Coord. Comissão de Ética e Disciplina</w:t>
      </w:r>
    </w:p>
    <w:p>
      <w:pPr>
        <w:pStyle w:val="BodyText"/>
        <w:tabs>
          <w:tab w:pos="3522" w:val="left" w:leader="none"/>
        </w:tabs>
        <w:spacing w:line="289" w:lineRule="exact"/>
        <w:ind w:left="118"/>
      </w:pPr>
      <w:r>
        <w:rPr/>
        <w:t>Valter</w:t>
      </w:r>
      <w:r>
        <w:rPr>
          <w:spacing w:val="-2"/>
        </w:rPr>
        <w:t> </w:t>
      </w:r>
      <w:r>
        <w:rPr/>
        <w:t>Luis</w:t>
      </w:r>
      <w:r>
        <w:rPr>
          <w:spacing w:val="-2"/>
        </w:rPr>
        <w:t> </w:t>
      </w:r>
      <w:r>
        <w:rPr/>
        <w:t>Caldana</w:t>
      </w:r>
      <w:r>
        <w:rPr>
          <w:spacing w:val="-2"/>
        </w:rPr>
        <w:t> Junior</w:t>
      </w:r>
      <w:r>
        <w:rPr/>
        <w:tab/>
        <w:t>|</w:t>
      </w:r>
      <w:r>
        <w:rPr>
          <w:spacing w:val="-5"/>
        </w:rPr>
        <w:t> </w:t>
      </w:r>
      <w:r>
        <w:rPr/>
        <w:t>Coord.</w:t>
      </w:r>
      <w:r>
        <w:rPr>
          <w:spacing w:val="-3"/>
        </w:rPr>
        <w:t> </w:t>
      </w:r>
      <w:r>
        <w:rPr/>
        <w:t>Comissão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Formação</w:t>
      </w:r>
    </w:p>
    <w:p>
      <w:pPr>
        <w:spacing w:before="157"/>
        <w:ind w:left="118" w:right="0" w:firstLine="0"/>
        <w:jc w:val="left"/>
        <w:rPr>
          <w:i/>
          <w:sz w:val="20"/>
        </w:rPr>
      </w:pPr>
      <w:r>
        <w:rPr>
          <w:i/>
          <w:sz w:val="20"/>
        </w:rPr>
        <w:t>*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Vice-</w:t>
      </w:r>
      <w:r>
        <w:rPr>
          <w:i/>
          <w:spacing w:val="-2"/>
          <w:sz w:val="20"/>
        </w:rPr>
        <w:t>presidentes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pStyle w:val="Heading4"/>
        <w:ind w:left="118"/>
      </w:pPr>
      <w:r>
        <w:rPr/>
        <w:t>Comissão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2"/>
        </w:rPr>
        <w:t>Finanças</w:t>
      </w:r>
    </w:p>
    <w:p>
      <w:pPr>
        <w:pStyle w:val="BodyText"/>
        <w:tabs>
          <w:tab w:pos="3522" w:val="left" w:leader="none"/>
        </w:tabs>
        <w:spacing w:before="160"/>
        <w:ind w:left="118"/>
      </w:pPr>
      <w:r>
        <w:rPr/>
        <w:t>Daniela</w:t>
      </w:r>
      <w:r>
        <w:rPr>
          <w:spacing w:val="-2"/>
        </w:rPr>
        <w:t> </w:t>
      </w:r>
      <w:r>
        <w:rPr/>
        <w:t>Pareja</w:t>
      </w:r>
      <w:r>
        <w:rPr>
          <w:spacing w:val="-1"/>
        </w:rPr>
        <w:t> </w:t>
      </w:r>
      <w:r>
        <w:rPr/>
        <w:t>Garcia</w:t>
      </w:r>
      <w:r>
        <w:rPr>
          <w:spacing w:val="-2"/>
        </w:rPr>
        <w:t> Sarmento</w:t>
      </w:r>
      <w:r>
        <w:rPr/>
        <w:tab/>
        <w:t>|</w:t>
      </w:r>
      <w:r>
        <w:rPr>
          <w:spacing w:val="27"/>
        </w:rPr>
        <w:t>  </w:t>
      </w:r>
      <w:r>
        <w:rPr>
          <w:spacing w:val="-2"/>
        </w:rPr>
        <w:t>Coordenador</w:t>
      </w:r>
    </w:p>
    <w:p>
      <w:pPr>
        <w:pStyle w:val="BodyText"/>
        <w:tabs>
          <w:tab w:pos="3522" w:val="left" w:leader="none"/>
        </w:tabs>
        <w:spacing w:line="372" w:lineRule="auto" w:before="161"/>
        <w:ind w:left="118" w:right="4004"/>
      </w:pPr>
      <w:r>
        <w:rPr/>
        <w:t>Maíra Rocha Mattos</w:t>
        <w:tab/>
        <w:t>|</w:t>
      </w:r>
      <w:r>
        <w:rPr>
          <w:spacing w:val="80"/>
        </w:rPr>
        <w:t> </w:t>
      </w:r>
      <w:r>
        <w:rPr/>
        <w:t>Coordenador</w:t>
      </w:r>
      <w:r>
        <w:rPr>
          <w:spacing w:val="-8"/>
        </w:rPr>
        <w:t> </w:t>
      </w:r>
      <w:r>
        <w:rPr/>
        <w:t>Adjunto Camila Leal Costa</w:t>
      </w:r>
    </w:p>
    <w:p>
      <w:pPr>
        <w:pStyle w:val="BodyText"/>
        <w:spacing w:line="372" w:lineRule="auto"/>
        <w:ind w:left="118" w:right="6030"/>
      </w:pPr>
      <w:r>
        <w:rPr/>
        <w:t>Heitor</w:t>
      </w:r>
      <w:r>
        <w:rPr>
          <w:spacing w:val="-6"/>
        </w:rPr>
        <w:t> </w:t>
      </w:r>
      <w:r>
        <w:rPr/>
        <w:t>Antonio</w:t>
      </w:r>
      <w:r>
        <w:rPr>
          <w:spacing w:val="-8"/>
        </w:rPr>
        <w:t> </w:t>
      </w:r>
      <w:r>
        <w:rPr/>
        <w:t>Maia</w:t>
      </w:r>
      <w:r>
        <w:rPr>
          <w:spacing w:val="-7"/>
        </w:rPr>
        <w:t> </w:t>
      </w:r>
      <w:r>
        <w:rPr/>
        <w:t>da</w:t>
      </w:r>
      <w:r>
        <w:rPr>
          <w:spacing w:val="-9"/>
        </w:rPr>
        <w:t> </w:t>
      </w:r>
      <w:r>
        <w:rPr/>
        <w:t>Silva</w:t>
      </w:r>
      <w:r>
        <w:rPr>
          <w:spacing w:val="-7"/>
        </w:rPr>
        <w:t> </w:t>
      </w:r>
      <w:r>
        <w:rPr/>
        <w:t>Dores Raul Wanderley Gradim</w:t>
      </w:r>
    </w:p>
    <w:p>
      <w:pPr>
        <w:pStyle w:val="BodyText"/>
        <w:spacing w:before="8"/>
        <w:rPr>
          <w:sz w:val="34"/>
        </w:rPr>
      </w:pPr>
    </w:p>
    <w:p>
      <w:pPr>
        <w:pStyle w:val="Heading4"/>
        <w:ind w:left="118"/>
      </w:pPr>
      <w:r>
        <w:rPr/>
        <w:t>Alcenira</w:t>
      </w:r>
      <w:r>
        <w:rPr>
          <w:spacing w:val="-5"/>
        </w:rPr>
        <w:t> </w:t>
      </w:r>
      <w:r>
        <w:rPr/>
        <w:t>Vanderlinde</w:t>
      </w:r>
      <w:r>
        <w:rPr>
          <w:spacing w:val="-5"/>
        </w:rPr>
        <w:t> </w:t>
      </w:r>
      <w:r>
        <w:rPr/>
        <w:t>|</w:t>
      </w:r>
      <w:r>
        <w:rPr>
          <w:spacing w:val="-7"/>
        </w:rPr>
        <w:t> </w:t>
      </w:r>
      <w:r>
        <w:rPr/>
        <w:t>Gerente</w:t>
      </w:r>
      <w:r>
        <w:rPr>
          <w:spacing w:val="-3"/>
        </w:rPr>
        <w:t> </w:t>
      </w:r>
      <w:r>
        <w:rPr>
          <w:spacing w:val="-2"/>
        </w:rPr>
        <w:t>Executiva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spacing w:before="1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Coordenação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Elaboração</w:t>
      </w:r>
    </w:p>
    <w:p>
      <w:pPr>
        <w:pStyle w:val="BodyText"/>
        <w:spacing w:before="158"/>
        <w:ind w:left="118"/>
      </w:pPr>
      <w:r>
        <w:rPr/>
        <w:t>Gerência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Gestão</w:t>
      </w:r>
      <w:r>
        <w:rPr>
          <w:spacing w:val="-3"/>
        </w:rPr>
        <w:t> </w:t>
      </w:r>
      <w:r>
        <w:rPr>
          <w:spacing w:val="-2"/>
        </w:rPr>
        <w:t>Estratégica</w:t>
      </w:r>
    </w:p>
    <w:p>
      <w:pPr>
        <w:pStyle w:val="Heading4"/>
        <w:spacing w:before="160"/>
        <w:ind w:left="118"/>
      </w:pP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Elaboração</w:t>
      </w:r>
    </w:p>
    <w:p>
      <w:pPr>
        <w:pStyle w:val="BodyText"/>
        <w:tabs>
          <w:tab w:pos="2728" w:val="left" w:leader="none"/>
        </w:tabs>
        <w:spacing w:line="372" w:lineRule="auto" w:before="161"/>
        <w:ind w:left="118" w:right="2477"/>
      </w:pPr>
      <w:r>
        <w:rPr/>
        <w:t>Gelson Luiz Benatti</w:t>
        <w:tab/>
        <w:t>|</w:t>
      </w:r>
      <w:r>
        <w:rPr>
          <w:spacing w:val="-6"/>
        </w:rPr>
        <w:t> </w:t>
      </w:r>
      <w:r>
        <w:rPr/>
        <w:t>Gerente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Planejamento</w:t>
      </w:r>
      <w:r>
        <w:rPr>
          <w:spacing w:val="-8"/>
        </w:rPr>
        <w:t> </w:t>
      </w:r>
      <w:r>
        <w:rPr/>
        <w:t>e</w:t>
      </w:r>
      <w:r>
        <w:rPr>
          <w:spacing w:val="-5"/>
        </w:rPr>
        <w:t> </w:t>
      </w:r>
      <w:r>
        <w:rPr/>
        <w:t>Gestão</w:t>
      </w:r>
      <w:r>
        <w:rPr>
          <w:spacing w:val="-4"/>
        </w:rPr>
        <w:t> </w:t>
      </w:r>
      <w:r>
        <w:rPr/>
        <w:t>Estratégica Flávia Rios Costa</w:t>
        <w:tab/>
        <w:t>| Analista Técnica</w:t>
      </w:r>
    </w:p>
    <w:p>
      <w:pPr>
        <w:pStyle w:val="BodyText"/>
        <w:tabs>
          <w:tab w:pos="2728" w:val="left" w:leader="none"/>
        </w:tabs>
        <w:spacing w:line="372" w:lineRule="auto"/>
        <w:ind w:left="118" w:right="5240"/>
      </w:pPr>
      <w:r>
        <w:rPr/>
        <w:t>Marcos Cristino de Oliveira| Analista Técnico Tania Mara C. Daldegan</w:t>
        <w:tab/>
        <w:t>| Analista Técnica Zaíle Sousa das Chagas</w:t>
        <w:tab/>
        <w:t>| Analista Técnica Wanessa</w:t>
      </w:r>
      <w:r>
        <w:rPr>
          <w:spacing w:val="-4"/>
        </w:rPr>
        <w:t> </w:t>
      </w:r>
      <w:r>
        <w:rPr/>
        <w:t>Souza</w:t>
      </w:r>
      <w:r>
        <w:rPr>
          <w:spacing w:val="-7"/>
        </w:rPr>
        <w:t> </w:t>
      </w:r>
      <w:r>
        <w:rPr/>
        <w:t>Pimentel</w:t>
      </w:r>
      <w:r>
        <w:rPr>
          <w:spacing w:val="80"/>
        </w:rPr>
        <w:t> </w:t>
      </w:r>
      <w:r>
        <w:rPr/>
        <w:t>|</w:t>
      </w:r>
      <w:r>
        <w:rPr>
          <w:spacing w:val="-5"/>
        </w:rPr>
        <w:t> </w:t>
      </w:r>
      <w:r>
        <w:rPr/>
        <w:t>Assistente</w:t>
      </w:r>
      <w:r>
        <w:rPr>
          <w:spacing w:val="-4"/>
        </w:rPr>
        <w:t> </w:t>
      </w:r>
      <w:r>
        <w:rPr/>
        <w:t>Técnica</w:t>
      </w:r>
    </w:p>
    <w:p>
      <w:pPr>
        <w:pStyle w:val="BodyText"/>
        <w:spacing w:line="286" w:lineRule="exact"/>
        <w:ind w:left="6467"/>
      </w:pPr>
      <w:r>
        <w:rPr/>
        <w:t>Brasília,</w:t>
      </w:r>
      <w:r>
        <w:rPr>
          <w:spacing w:val="-4"/>
        </w:rPr>
        <w:t> </w:t>
      </w:r>
      <w:r>
        <w:rPr/>
        <w:t>19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dezembro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4"/>
        </w:rPr>
        <w:t>2022.</w:t>
      </w:r>
    </w:p>
    <w:p>
      <w:pPr>
        <w:spacing w:after="0" w:line="286" w:lineRule="exact"/>
        <w:sectPr>
          <w:headerReference w:type="default" r:id="rId6"/>
          <w:footerReference w:type="default" r:id="rId7"/>
          <w:pgSz w:w="11910" w:h="16840"/>
          <w:pgMar w:header="689" w:footer="261" w:top="1580" w:bottom="460" w:left="1300" w:right="68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spacing w:before="44"/>
        <w:ind w:left="2495" w:right="2546" w:firstLine="0"/>
        <w:jc w:val="center"/>
      </w:pPr>
      <w:r>
        <w:rPr>
          <w:color w:val="602041"/>
          <w:spacing w:val="-2"/>
        </w:rPr>
        <w:t>SUMÁRIO</w:t>
      </w:r>
    </w:p>
    <w:p>
      <w:pPr>
        <w:spacing w:after="0"/>
        <w:jc w:val="center"/>
        <w:sectPr>
          <w:pgSz w:w="11910" w:h="16840"/>
          <w:pgMar w:header="689" w:footer="261" w:top="1580" w:bottom="2127" w:left="1300" w:right="6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45" w:val="left" w:leader="dot"/>
            </w:tabs>
            <w:spacing w:before="841"/>
            <w:ind w:left="118" w:firstLine="0"/>
          </w:pPr>
          <w:hyperlink w:history="true" w:anchor="_bookmark0">
            <w:r>
              <w:rPr>
                <w:color w:val="602041"/>
              </w:rPr>
              <w:t>ÍNDICE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MAPA,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QUADROS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E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  <w:spacing w:val="-2"/>
              </w:rPr>
              <w:t>GRÁFICOS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10"/>
              </w:rPr>
              <w:t>4</w:t>
            </w:r>
          </w:hyperlink>
        </w:p>
        <w:p>
          <w:pPr>
            <w:pStyle w:val="TOC1"/>
            <w:tabs>
              <w:tab w:pos="9645" w:val="left" w:leader="dot"/>
            </w:tabs>
            <w:spacing w:before="296"/>
            <w:ind w:left="118" w:firstLine="0"/>
          </w:pPr>
          <w:hyperlink w:history="true" w:anchor="_bookmark1">
            <w:r>
              <w:rPr>
                <w:color w:val="602041"/>
                <w:spacing w:val="-2"/>
              </w:rPr>
              <w:t>INTRODUÇÃO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1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92" w:val="left" w:leader="none"/>
              <w:tab w:pos="9645" w:val="left" w:leader="dot"/>
            </w:tabs>
            <w:spacing w:line="240" w:lineRule="auto" w:before="293" w:after="0"/>
            <w:ind w:left="291" w:right="0" w:hanging="174"/>
            <w:jc w:val="left"/>
          </w:pPr>
          <w:hyperlink w:history="true" w:anchor="_bookmark3">
            <w:r>
              <w:rPr>
                <w:color w:val="602041"/>
              </w:rPr>
              <w:t>ORIGEM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  <w:spacing w:val="-2"/>
              </w:rPr>
              <w:t>RECURSOS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12"/>
              </w:rPr>
              <w:t>7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971" w:val="left" w:leader="none"/>
              <w:tab w:pos="9645" w:val="left" w:leader="dot"/>
            </w:tabs>
            <w:spacing w:line="240" w:lineRule="auto" w:before="296" w:after="0"/>
            <w:ind w:left="970" w:right="0" w:hanging="286"/>
            <w:jc w:val="left"/>
            <w:rPr>
              <w:color w:val="602041"/>
              <w:sz w:val="20"/>
            </w:rPr>
          </w:pPr>
          <w:hyperlink w:history="true" w:anchor="_bookmark4">
            <w:r>
              <w:rPr>
                <w:color w:val="602041"/>
              </w:rPr>
              <w:t>Dos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Recursos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do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  <w:spacing w:val="-2"/>
              </w:rPr>
              <w:t>CAU/BR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452" w:val="left" w:leader="none"/>
              <w:tab w:pos="9645" w:val="left" w:leader="dot"/>
            </w:tabs>
            <w:spacing w:line="240" w:lineRule="auto" w:before="233" w:after="0"/>
            <w:ind w:left="451" w:right="0" w:hanging="334"/>
            <w:jc w:val="left"/>
            <w:rPr>
              <w:color w:val="602041"/>
            </w:rPr>
          </w:pPr>
          <w:hyperlink w:history="true" w:anchor="_bookmark5">
            <w:r>
              <w:rPr>
                <w:color w:val="602041"/>
              </w:rPr>
              <w:t>Dos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Recursos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do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  <w:spacing w:val="-2"/>
              </w:rPr>
              <w:t>CAU/UF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1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0" w:val="left" w:leader="none"/>
              <w:tab w:pos="9533" w:val="left" w:leader="dot"/>
            </w:tabs>
            <w:spacing w:line="240" w:lineRule="auto" w:before="295" w:after="0"/>
            <w:ind w:left="339" w:right="0" w:hanging="222"/>
            <w:jc w:val="left"/>
          </w:pPr>
          <w:hyperlink w:history="true" w:anchor="_bookmark8">
            <w:r>
              <w:rPr>
                <w:color w:val="602041"/>
              </w:rPr>
              <w:t>APLICAÇÃO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  <w:spacing w:val="-2"/>
              </w:rPr>
              <w:t>RECURSOS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0" w:val="left" w:leader="none"/>
              <w:tab w:pos="9533" w:val="left" w:leader="dot"/>
            </w:tabs>
            <w:spacing w:line="240" w:lineRule="auto" w:before="293" w:after="0"/>
            <w:ind w:left="339" w:right="0" w:hanging="222"/>
            <w:jc w:val="left"/>
          </w:pPr>
          <w:hyperlink w:history="true" w:anchor="_bookmark12">
            <w:r>
              <w:rPr>
                <w:color w:val="602041"/>
              </w:rPr>
              <w:t>APLICAÇÃO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RECURSOS</w:t>
            </w:r>
            <w:r>
              <w:rPr>
                <w:color w:val="602041"/>
                <w:spacing w:val="-7"/>
              </w:rPr>
              <w:t> </w:t>
            </w:r>
            <w:r>
              <w:rPr>
                <w:color w:val="602041"/>
              </w:rPr>
              <w:t>POR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OBJETIVOS</w:t>
            </w:r>
            <w:r>
              <w:rPr>
                <w:color w:val="602041"/>
                <w:spacing w:val="-7"/>
              </w:rPr>
              <w:t> </w:t>
            </w:r>
            <w:r>
              <w:rPr>
                <w:color w:val="602041"/>
                <w:spacing w:val="-2"/>
              </w:rPr>
              <w:t>ESTRATÉGICOS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0" w:val="left" w:leader="none"/>
              <w:tab w:pos="9533" w:val="left" w:leader="dot"/>
            </w:tabs>
            <w:spacing w:line="240" w:lineRule="auto" w:before="296" w:after="0"/>
            <w:ind w:left="339" w:right="0" w:hanging="222"/>
            <w:jc w:val="left"/>
          </w:pPr>
          <w:hyperlink w:history="true" w:anchor="_bookmark13">
            <w:r>
              <w:rPr>
                <w:color w:val="602041"/>
              </w:rPr>
              <w:t>APLICAÇÃO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ORÇAMENTÁRIA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7"/>
              </w:rPr>
              <w:t> </w:t>
            </w:r>
            <w:r>
              <w:rPr>
                <w:color w:val="602041"/>
                <w:spacing w:val="-2"/>
              </w:rPr>
              <w:t>RECURSOS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0" w:val="left" w:leader="none"/>
              <w:tab w:pos="9533" w:val="left" w:leader="dot"/>
            </w:tabs>
            <w:spacing w:line="240" w:lineRule="auto" w:before="293" w:after="0"/>
            <w:ind w:left="339" w:right="0" w:hanging="222"/>
            <w:jc w:val="left"/>
          </w:pPr>
          <w:hyperlink w:history="true" w:anchor="_bookmark17">
            <w:r>
              <w:rPr>
                <w:color w:val="602041"/>
                <w:spacing w:val="-2"/>
              </w:rPr>
              <w:t>ANEXOS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19</w:t>
            </w:r>
          </w:hyperlink>
        </w:p>
        <w:p>
          <w:pPr>
            <w:pStyle w:val="TOC4"/>
            <w:tabs>
              <w:tab w:pos="9525" w:val="left" w:leader="dot"/>
            </w:tabs>
            <w:spacing w:line="360" w:lineRule="auto" w:before="296"/>
            <w:ind w:right="170"/>
          </w:pPr>
          <w:hyperlink w:history="true" w:anchor="_bookmark18">
            <w:r>
              <w:rPr>
                <w:color w:val="602041"/>
              </w:rPr>
              <w:t>Anexo 1. Demonstrativo Comparativo da Reprogramação do Plano de Ação CAU 2022 (Programação</w:t>
            </w:r>
          </w:hyperlink>
          <w:r>
            <w:rPr>
              <w:color w:val="602041"/>
              <w:spacing w:val="40"/>
            </w:rPr>
            <w:t> </w:t>
          </w:r>
          <w:hyperlink w:history="true" w:anchor="_bookmark18">
            <w:r>
              <w:rPr>
                <w:color w:val="602041"/>
              </w:rPr>
              <w:t>2022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X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Reprogramação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  <w:spacing w:val="-2"/>
              </w:rPr>
              <w:t>2022)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7"/>
              </w:rPr>
              <w:t>21</w:t>
            </w:r>
          </w:hyperlink>
        </w:p>
        <w:p>
          <w:pPr>
            <w:pStyle w:val="TOC4"/>
            <w:tabs>
              <w:tab w:pos="9525" w:val="left" w:leader="dot"/>
            </w:tabs>
          </w:pPr>
          <w:hyperlink w:history="true" w:anchor="_bookmark19">
            <w:r>
              <w:rPr>
                <w:color w:val="602041"/>
              </w:rPr>
              <w:t>Anexo</w:t>
            </w:r>
            <w:r>
              <w:rPr>
                <w:color w:val="602041"/>
                <w:spacing w:val="-7"/>
              </w:rPr>
              <w:t> </w:t>
            </w:r>
            <w:r>
              <w:rPr>
                <w:color w:val="602041"/>
              </w:rPr>
              <w:t>2.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Demonstrativo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Comparativo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das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Fontes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Receitas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CAU/UF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e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  <w:spacing w:val="-2"/>
              </w:rPr>
              <w:t>CAU/BR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23</w:t>
            </w:r>
          </w:hyperlink>
        </w:p>
        <w:p>
          <w:pPr>
            <w:pStyle w:val="TOC4"/>
            <w:tabs>
              <w:tab w:pos="9525" w:val="left" w:leader="dot"/>
            </w:tabs>
            <w:spacing w:before="235"/>
          </w:pPr>
          <w:hyperlink w:history="true" w:anchor="_bookmark20">
            <w:r>
              <w:rPr>
                <w:color w:val="602041"/>
              </w:rPr>
              <w:t>Anexo</w:t>
            </w:r>
            <w:r>
              <w:rPr>
                <w:color w:val="602041"/>
                <w:spacing w:val="-7"/>
              </w:rPr>
              <w:t> </w:t>
            </w:r>
            <w:r>
              <w:rPr>
                <w:color w:val="602041"/>
              </w:rPr>
              <w:t>3.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Demonstrativo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das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Aplicações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Totais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por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Iniciativa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  <w:spacing w:val="-2"/>
              </w:rPr>
              <w:t>Estratégica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25</w:t>
            </w:r>
          </w:hyperlink>
        </w:p>
        <w:p>
          <w:pPr>
            <w:pStyle w:val="TOC4"/>
            <w:tabs>
              <w:tab w:pos="9525" w:val="left" w:leader="dot"/>
            </w:tabs>
            <w:spacing w:line="360" w:lineRule="auto" w:before="233"/>
            <w:ind w:right="168"/>
          </w:pPr>
          <w:hyperlink w:history="true" w:anchor="_bookmark21">
            <w:r>
              <w:rPr>
                <w:color w:val="602041"/>
              </w:rPr>
              <w:t>Anexo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3.1.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Demonstrativo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das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Aplicações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por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Iniciativa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Estratégica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da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Programação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Operacional,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Fundo</w:t>
            </w:r>
          </w:hyperlink>
          <w:r>
            <w:rPr>
              <w:color w:val="602041"/>
            </w:rPr>
            <w:t> </w:t>
          </w:r>
          <w:hyperlink w:history="true" w:anchor="_bookmark21">
            <w:r>
              <w:rPr>
                <w:color w:val="602041"/>
              </w:rPr>
              <w:t>de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Apoio,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Contribuição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CSC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e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Reserva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  <w:spacing w:val="-2"/>
              </w:rPr>
              <w:t>Contingência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26</w:t>
            </w:r>
          </w:hyperlink>
        </w:p>
        <w:p>
          <w:pPr>
            <w:pStyle w:val="TOC4"/>
            <w:tabs>
              <w:tab w:pos="9525" w:val="left" w:leader="dot"/>
            </w:tabs>
          </w:pPr>
          <w:hyperlink w:history="true" w:anchor="_bookmark22">
            <w:r>
              <w:rPr>
                <w:color w:val="602041"/>
              </w:rPr>
              <w:t>Anexo</w:t>
            </w:r>
            <w:r>
              <w:rPr>
                <w:color w:val="602041"/>
                <w:spacing w:val="-7"/>
              </w:rPr>
              <w:t> </w:t>
            </w:r>
            <w:r>
              <w:rPr>
                <w:color w:val="602041"/>
              </w:rPr>
              <w:t>4.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Demonstrativo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das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Aplicações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por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Elementos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Despesas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CAU/UF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e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  <w:spacing w:val="-2"/>
              </w:rPr>
              <w:t>CAU/BR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28</w:t>
            </w:r>
          </w:hyperlink>
        </w:p>
        <w:p>
          <w:pPr>
            <w:pStyle w:val="TOC4"/>
            <w:tabs>
              <w:tab w:pos="9525" w:val="left" w:leader="dot"/>
            </w:tabs>
            <w:spacing w:line="360" w:lineRule="auto" w:before="236"/>
            <w:ind w:right="170"/>
          </w:pPr>
          <w:hyperlink w:history="true" w:anchor="_bookmark23">
            <w:r>
              <w:rPr>
                <w:color w:val="602041"/>
              </w:rPr>
              <w:t>Anexo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5.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Demonstrativo Comparativo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Limites de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Destinação Estratégica</w:t>
            </w:r>
            <w:r>
              <w:rPr>
                <w:color w:val="602041"/>
                <w:spacing w:val="-1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Recursos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CAU/UF</w:t>
            </w:r>
            <w:r>
              <w:rPr>
                <w:color w:val="602041"/>
                <w:spacing w:val="-1"/>
              </w:rPr>
              <w:t> </w:t>
            </w:r>
            <w:r>
              <w:rPr>
                <w:color w:val="602041"/>
              </w:rPr>
              <w:t>e</w:t>
            </w:r>
          </w:hyperlink>
          <w:r>
            <w:rPr>
              <w:color w:val="602041"/>
            </w:rPr>
            <w:t> </w:t>
          </w:r>
          <w:hyperlink w:history="true" w:anchor="_bookmark23">
            <w:r>
              <w:rPr>
                <w:color w:val="602041"/>
              </w:rPr>
              <w:t>CAU/BR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(Receitas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Correntes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X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Despesas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com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  <w:spacing w:val="-2"/>
              </w:rPr>
              <w:t>Pessoal)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30</w:t>
            </w:r>
          </w:hyperlink>
        </w:p>
        <w:p>
          <w:pPr>
            <w:pStyle w:val="TOC4"/>
            <w:tabs>
              <w:tab w:pos="9525" w:val="left" w:leader="dot"/>
            </w:tabs>
            <w:spacing w:line="360" w:lineRule="auto" w:before="100"/>
            <w:ind w:right="170"/>
          </w:pPr>
          <w:hyperlink w:history="true" w:anchor="_bookmark24">
            <w:r>
              <w:rPr>
                <w:color w:val="602041"/>
              </w:rPr>
              <w:t>Anexo</w:t>
            </w:r>
            <w:r>
              <w:rPr>
                <w:color w:val="602041"/>
                <w:spacing w:val="33"/>
              </w:rPr>
              <w:t> </w:t>
            </w:r>
            <w:r>
              <w:rPr>
                <w:color w:val="602041"/>
              </w:rPr>
              <w:t>6.</w:t>
            </w:r>
            <w:r>
              <w:rPr>
                <w:color w:val="602041"/>
                <w:spacing w:val="31"/>
              </w:rPr>
              <w:t> </w:t>
            </w:r>
            <w:r>
              <w:rPr>
                <w:color w:val="602041"/>
              </w:rPr>
              <w:t>Demonstrativo</w:t>
            </w:r>
            <w:r>
              <w:rPr>
                <w:color w:val="602041"/>
                <w:spacing w:val="33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32"/>
              </w:rPr>
              <w:t> </w:t>
            </w:r>
            <w:r>
              <w:rPr>
                <w:color w:val="602041"/>
              </w:rPr>
              <w:t>Limites</w:t>
            </w:r>
            <w:r>
              <w:rPr>
                <w:color w:val="602041"/>
                <w:spacing w:val="34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32"/>
              </w:rPr>
              <w:t> </w:t>
            </w:r>
            <w:r>
              <w:rPr>
                <w:color w:val="602041"/>
              </w:rPr>
              <w:t>Destinação</w:t>
            </w:r>
            <w:r>
              <w:rPr>
                <w:color w:val="602041"/>
                <w:spacing w:val="31"/>
              </w:rPr>
              <w:t> </w:t>
            </w:r>
            <w:r>
              <w:rPr>
                <w:color w:val="602041"/>
              </w:rPr>
              <w:t>Estratégica</w:t>
            </w:r>
            <w:r>
              <w:rPr>
                <w:color w:val="602041"/>
                <w:spacing w:val="34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32"/>
              </w:rPr>
              <w:t> </w:t>
            </w:r>
            <w:r>
              <w:rPr>
                <w:color w:val="602041"/>
              </w:rPr>
              <w:t>Recursos</w:t>
            </w:r>
            <w:r>
              <w:rPr>
                <w:color w:val="602041"/>
                <w:spacing w:val="34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34"/>
              </w:rPr>
              <w:t> </w:t>
            </w:r>
            <w:r>
              <w:rPr>
                <w:color w:val="602041"/>
              </w:rPr>
              <w:t>CAU/UF</w:t>
            </w:r>
            <w:r>
              <w:rPr>
                <w:color w:val="602041"/>
                <w:spacing w:val="31"/>
              </w:rPr>
              <w:t> </w:t>
            </w:r>
            <w:r>
              <w:rPr>
                <w:color w:val="602041"/>
              </w:rPr>
              <w:t>e</w:t>
            </w:r>
            <w:r>
              <w:rPr>
                <w:color w:val="602041"/>
                <w:spacing w:val="35"/>
              </w:rPr>
              <w:t> </w:t>
            </w:r>
            <w:r>
              <w:rPr>
                <w:color w:val="602041"/>
              </w:rPr>
              <w:t>CAU/BR</w:t>
            </w:r>
          </w:hyperlink>
          <w:r>
            <w:rPr>
              <w:color w:val="602041"/>
            </w:rPr>
            <w:t> </w:t>
          </w:r>
          <w:hyperlink w:history="true" w:anchor="_bookmark24">
            <w:r>
              <w:rPr>
                <w:color w:val="602041"/>
              </w:rPr>
              <w:t>(demais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  <w:spacing w:val="-2"/>
              </w:rPr>
              <w:t>destinações)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32</w:t>
            </w:r>
          </w:hyperlink>
        </w:p>
        <w:p>
          <w:pPr>
            <w:pStyle w:val="TOC4"/>
            <w:tabs>
              <w:tab w:pos="9525" w:val="left" w:leader="dot"/>
            </w:tabs>
            <w:spacing w:line="360" w:lineRule="auto" w:before="101" w:after="20"/>
            <w:ind w:right="172"/>
          </w:pPr>
          <w:hyperlink w:history="true" w:anchor="_bookmark25">
            <w:r>
              <w:rPr>
                <w:color w:val="602041"/>
              </w:rPr>
              <w:t>Anexo 7. Reprogramações do Plano de Ação e Orçamento do CAU 2022 dos CAU/UF e CAU/BR (Links</w:t>
            </w:r>
          </w:hyperlink>
          <w:r>
            <w:rPr>
              <w:color w:val="602041"/>
            </w:rPr>
            <w:t> </w:t>
          </w:r>
          <w:hyperlink w:history="true" w:anchor="_bookmark25">
            <w:r>
              <w:rPr>
                <w:color w:val="602041"/>
              </w:rPr>
              <w:t>para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acesso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no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Portal</w:t>
            </w:r>
            <w:r>
              <w:rPr>
                <w:color w:val="602041"/>
                <w:spacing w:val="-1"/>
              </w:rPr>
              <w:t> </w:t>
            </w:r>
            <w:r>
              <w:rPr>
                <w:color w:val="602041"/>
                <w:spacing w:val="-2"/>
              </w:rPr>
              <w:t>Transparência)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34</w:t>
            </w:r>
          </w:hyperlink>
        </w:p>
        <w:p>
          <w:pPr>
            <w:pStyle w:val="TOC6"/>
          </w:pPr>
          <w:bookmarkStart w:name="_bookmark0" w:id="1"/>
          <w:bookmarkEnd w:id="1"/>
          <w:r>
            <w:rPr>
              <w:b w:val="0"/>
            </w:rPr>
          </w:r>
          <w:r>
            <w:rPr>
              <w:color w:val="602041"/>
            </w:rPr>
            <w:t>ÍNDICE</w:t>
          </w:r>
          <w:r>
            <w:rPr>
              <w:color w:val="602041"/>
              <w:spacing w:val="-4"/>
            </w:rPr>
            <w:t> </w:t>
          </w:r>
          <w:r>
            <w:rPr>
              <w:color w:val="602041"/>
            </w:rPr>
            <w:t>DE</w:t>
          </w:r>
          <w:r>
            <w:rPr>
              <w:color w:val="602041"/>
              <w:spacing w:val="-3"/>
            </w:rPr>
            <w:t> </w:t>
          </w:r>
          <w:r>
            <w:rPr>
              <w:color w:val="602041"/>
            </w:rPr>
            <w:t>MAPA,</w:t>
          </w:r>
          <w:r>
            <w:rPr>
              <w:color w:val="602041"/>
              <w:spacing w:val="-4"/>
            </w:rPr>
            <w:t> </w:t>
          </w:r>
          <w:r>
            <w:rPr>
              <w:color w:val="602041"/>
            </w:rPr>
            <w:t>QUADROS</w:t>
          </w:r>
          <w:r>
            <w:rPr>
              <w:color w:val="602041"/>
              <w:spacing w:val="-3"/>
            </w:rPr>
            <w:t> </w:t>
          </w:r>
          <w:r>
            <w:rPr>
              <w:color w:val="602041"/>
            </w:rPr>
            <w:t>E</w:t>
          </w:r>
          <w:r>
            <w:rPr>
              <w:color w:val="602041"/>
              <w:spacing w:val="-2"/>
            </w:rPr>
            <w:t> GRÁFICOS</w:t>
          </w:r>
        </w:p>
        <w:p>
          <w:pPr>
            <w:pStyle w:val="TOC2"/>
            <w:tabs>
              <w:tab w:pos="9645" w:val="left" w:leader="dot"/>
            </w:tabs>
            <w:spacing w:before="841"/>
          </w:pPr>
          <w:hyperlink w:history="true" w:anchor="_bookmark2">
            <w:r>
              <w:rPr>
                <w:color w:val="602041"/>
              </w:rPr>
              <w:t>Figura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1.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Mapa</w:t>
            </w:r>
            <w:r>
              <w:rPr>
                <w:color w:val="602041"/>
                <w:spacing w:val="-2"/>
              </w:rPr>
              <w:t> </w:t>
            </w:r>
            <w:r>
              <w:rPr>
                <w:color w:val="602041"/>
              </w:rPr>
              <w:t>Estratégico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do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CAU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  <w:spacing w:val="-4"/>
              </w:rPr>
              <w:t>2023</w:t>
            </w:r>
          </w:hyperlink>
          <w:r>
            <w:rPr>
              <w:color w:val="602041"/>
            </w:rPr>
            <w:tab/>
          </w:r>
          <w:r>
            <w:rPr>
              <w:color w:val="602041"/>
              <w:spacing w:val="-10"/>
              <w:u w:val="single" w:color="602041"/>
            </w:rPr>
            <w:t>6</w:t>
          </w:r>
        </w:p>
        <w:p>
          <w:pPr>
            <w:pStyle w:val="TOC2"/>
            <w:tabs>
              <w:tab w:pos="9757" w:val="right" w:leader="dot"/>
            </w:tabs>
          </w:pPr>
          <w:hyperlink w:history="true" w:anchor="_bookmark7">
            <w:r>
              <w:rPr>
                <w:color w:val="602041"/>
              </w:rPr>
              <w:t>Quadro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1.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Demonstrativo</w:t>
            </w:r>
            <w:r>
              <w:rPr>
                <w:color w:val="602041"/>
                <w:spacing w:val="-7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Disponibilizações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e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Utilizações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Recursos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do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Fundo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  <w:spacing w:val="-2"/>
              </w:rPr>
              <w:t>Apoio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10</w:t>
            </w:r>
          </w:hyperlink>
          <w:r>
            <w:rPr>
              <w:color w:val="602041"/>
              <w:spacing w:val="-5"/>
              <w:u w:val="single" w:color="602041"/>
            </w:rPr>
            <w:t>0</w:t>
          </w:r>
        </w:p>
        <w:p>
          <w:pPr>
            <w:pStyle w:val="TOC2"/>
            <w:spacing w:before="296"/>
          </w:pPr>
          <w:hyperlink w:history="true" w:anchor="_bookmark10">
            <w:r>
              <w:rPr>
                <w:color w:val="602041"/>
              </w:rPr>
              <w:t>Quadro</w:t>
            </w:r>
            <w:r>
              <w:rPr>
                <w:color w:val="602041"/>
                <w:spacing w:val="-12"/>
              </w:rPr>
              <w:t> </w:t>
            </w:r>
            <w:r>
              <w:rPr>
                <w:color w:val="602041"/>
              </w:rPr>
              <w:t>2.</w:t>
            </w:r>
            <w:r>
              <w:rPr>
                <w:color w:val="602041"/>
                <w:spacing w:val="-9"/>
              </w:rPr>
              <w:t> </w:t>
            </w:r>
            <w:r>
              <w:rPr>
                <w:color w:val="602041"/>
              </w:rPr>
              <w:t>Demonstrativo</w:t>
            </w:r>
            <w:r>
              <w:rPr>
                <w:color w:val="602041"/>
                <w:spacing w:val="-11"/>
              </w:rPr>
              <w:t> </w:t>
            </w:r>
            <w:r>
              <w:rPr>
                <w:color w:val="602041"/>
              </w:rPr>
              <w:t>Comparativo</w:t>
            </w:r>
            <w:r>
              <w:rPr>
                <w:color w:val="602041"/>
                <w:spacing w:val="-10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9"/>
              </w:rPr>
              <w:t> </w:t>
            </w:r>
            <w:r>
              <w:rPr>
                <w:color w:val="602041"/>
              </w:rPr>
              <w:t>Projetos</w:t>
            </w:r>
            <w:r>
              <w:rPr>
                <w:color w:val="602041"/>
                <w:spacing w:val="-10"/>
              </w:rPr>
              <w:t> </w:t>
            </w:r>
            <w:r>
              <w:rPr>
                <w:color w:val="602041"/>
              </w:rPr>
              <w:t>por</w:t>
            </w:r>
            <w:r>
              <w:rPr>
                <w:color w:val="602041"/>
                <w:spacing w:val="-8"/>
              </w:rPr>
              <w:t> </w:t>
            </w:r>
            <w:r>
              <w:rPr>
                <w:color w:val="602041"/>
              </w:rPr>
              <w:t>região</w:t>
            </w:r>
            <w:r>
              <w:rPr>
                <w:color w:val="602041"/>
                <w:spacing w:val="-12"/>
              </w:rPr>
              <w:t> </w:t>
            </w:r>
            <w:r>
              <w:rPr>
                <w:color w:val="602041"/>
              </w:rPr>
              <w:t>(Programação</w:t>
            </w:r>
            <w:r>
              <w:rPr>
                <w:color w:val="602041"/>
                <w:spacing w:val="-11"/>
              </w:rPr>
              <w:t> </w:t>
            </w:r>
            <w:r>
              <w:rPr>
                <w:color w:val="602041"/>
              </w:rPr>
              <w:t>2021</w:t>
            </w:r>
            <w:r>
              <w:rPr>
                <w:color w:val="602041"/>
                <w:spacing w:val="-10"/>
              </w:rPr>
              <w:t> </w:t>
            </w:r>
            <w:r>
              <w:rPr>
                <w:color w:val="602041"/>
              </w:rPr>
              <w:t>x</w:t>
            </w:r>
            <w:r>
              <w:rPr>
                <w:color w:val="602041"/>
                <w:spacing w:val="-11"/>
              </w:rPr>
              <w:t> </w:t>
            </w:r>
            <w:r>
              <w:rPr>
                <w:color w:val="602041"/>
              </w:rPr>
              <w:t>Reprogramação</w:t>
            </w:r>
            <w:r>
              <w:rPr>
                <w:color w:val="602041"/>
                <w:spacing w:val="-9"/>
              </w:rPr>
              <w:t> </w:t>
            </w:r>
            <w:r>
              <w:rPr>
                <w:color w:val="602041"/>
                <w:spacing w:val="-2"/>
              </w:rPr>
              <w:t>2021)</w:t>
            </w:r>
          </w:hyperlink>
        </w:p>
        <w:p>
          <w:pPr>
            <w:pStyle w:val="TOC3"/>
            <w:tabs>
              <w:tab w:pos="9422" w:val="left" w:leader="dot"/>
            </w:tabs>
          </w:pPr>
          <w:hyperlink w:history="true" w:anchor="_bookmark10">
            <w:r>
              <w:rPr>
                <w:color w:val="602041"/>
                <w:spacing w:val="-10"/>
              </w:rPr>
              <w:t>.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12</w:t>
            </w:r>
          </w:hyperlink>
          <w:r>
            <w:rPr>
              <w:color w:val="602041"/>
              <w:spacing w:val="-5"/>
              <w:u w:val="single" w:color="602041"/>
            </w:rPr>
            <w:t>2</w:t>
          </w:r>
        </w:p>
        <w:p>
          <w:pPr>
            <w:pStyle w:val="TOC2"/>
            <w:tabs>
              <w:tab w:pos="9422" w:val="left" w:leader="dot"/>
            </w:tabs>
            <w:spacing w:line="360" w:lineRule="auto"/>
            <w:ind w:right="166"/>
          </w:pPr>
          <w:hyperlink w:history="true" w:anchor="_bookmark11">
            <w:r>
              <w:rPr>
                <w:color w:val="602041"/>
              </w:rPr>
              <w:t>Quadro</w:t>
            </w:r>
            <w:r>
              <w:rPr>
                <w:color w:val="602041"/>
                <w:spacing w:val="35"/>
              </w:rPr>
              <w:t> </w:t>
            </w:r>
            <w:r>
              <w:rPr>
                <w:color w:val="602041"/>
              </w:rPr>
              <w:t>3.</w:t>
            </w:r>
            <w:r>
              <w:rPr>
                <w:color w:val="602041"/>
                <w:spacing w:val="34"/>
              </w:rPr>
              <w:t> </w:t>
            </w:r>
            <w:r>
              <w:rPr>
                <w:color w:val="602041"/>
              </w:rPr>
              <w:t>Demonstrativo</w:t>
            </w:r>
            <w:r>
              <w:rPr>
                <w:color w:val="602041"/>
                <w:spacing w:val="32"/>
              </w:rPr>
              <w:t> </w:t>
            </w:r>
            <w:r>
              <w:rPr>
                <w:color w:val="602041"/>
              </w:rPr>
              <w:t>Comparativo</w:t>
            </w:r>
            <w:r>
              <w:rPr>
                <w:color w:val="602041"/>
                <w:spacing w:val="32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36"/>
              </w:rPr>
              <w:t> </w:t>
            </w:r>
            <w:r>
              <w:rPr>
                <w:color w:val="602041"/>
              </w:rPr>
              <w:t>Atividade</w:t>
            </w:r>
            <w:r>
              <w:rPr>
                <w:color w:val="602041"/>
                <w:spacing w:val="35"/>
              </w:rPr>
              <w:t> </w:t>
            </w:r>
            <w:r>
              <w:rPr>
                <w:color w:val="602041"/>
              </w:rPr>
              <w:t>por</w:t>
            </w:r>
            <w:r>
              <w:rPr>
                <w:color w:val="602041"/>
                <w:spacing w:val="34"/>
              </w:rPr>
              <w:t> </w:t>
            </w:r>
            <w:r>
              <w:rPr>
                <w:color w:val="602041"/>
              </w:rPr>
              <w:t>região</w:t>
            </w:r>
            <w:r>
              <w:rPr>
                <w:color w:val="602041"/>
                <w:spacing w:val="32"/>
              </w:rPr>
              <w:t> </w:t>
            </w:r>
            <w:r>
              <w:rPr>
                <w:color w:val="602041"/>
              </w:rPr>
              <w:t>(Programação</w:t>
            </w:r>
            <w:r>
              <w:rPr>
                <w:color w:val="602041"/>
                <w:spacing w:val="35"/>
              </w:rPr>
              <w:t> </w:t>
            </w:r>
            <w:r>
              <w:rPr>
                <w:color w:val="602041"/>
              </w:rPr>
              <w:t>2021</w:t>
            </w:r>
            <w:r>
              <w:rPr>
                <w:color w:val="602041"/>
                <w:spacing w:val="36"/>
              </w:rPr>
              <w:t> </w:t>
            </w:r>
            <w:r>
              <w:rPr>
                <w:color w:val="602041"/>
              </w:rPr>
              <w:t>x</w:t>
            </w:r>
            <w:r>
              <w:rPr>
                <w:color w:val="602041"/>
                <w:spacing w:val="33"/>
              </w:rPr>
              <w:t> </w:t>
            </w:r>
            <w:r>
              <w:rPr>
                <w:color w:val="602041"/>
              </w:rPr>
              <w:t>Reprogramação</w:t>
            </w:r>
          </w:hyperlink>
          <w:r>
            <w:rPr>
              <w:color w:val="602041"/>
            </w:rPr>
            <w:t> </w:t>
          </w:r>
          <w:hyperlink w:history="true" w:anchor="_bookmark11">
            <w:r>
              <w:rPr>
                <w:color w:val="602041"/>
                <w:spacing w:val="-2"/>
              </w:rPr>
              <w:t>2021)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12</w:t>
            </w:r>
          </w:hyperlink>
          <w:r>
            <w:rPr>
              <w:color w:val="602041"/>
              <w:spacing w:val="-5"/>
            </w:rPr>
            <w:t>2</w:t>
          </w:r>
        </w:p>
        <w:p>
          <w:pPr>
            <w:pStyle w:val="TOC2"/>
            <w:tabs>
              <w:tab w:pos="9533" w:val="left" w:leader="dot"/>
            </w:tabs>
            <w:spacing w:before="160"/>
          </w:pPr>
          <w:hyperlink w:history="true" w:anchor="_bookmark14">
            <w:r>
              <w:rPr>
                <w:color w:val="602041"/>
              </w:rPr>
              <w:t>Quadro</w:t>
            </w:r>
            <w:r>
              <w:rPr>
                <w:color w:val="602041"/>
                <w:spacing w:val="-7"/>
              </w:rPr>
              <w:t> </w:t>
            </w:r>
            <w:r>
              <w:rPr>
                <w:color w:val="602041"/>
              </w:rPr>
              <w:t>4.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Aplicações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por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Objetivos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Estratégicos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CAU/UF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e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  <w:spacing w:val="-2"/>
              </w:rPr>
              <w:t>CAU/BR</w:t>
            </w:r>
          </w:hyperlink>
          <w:r>
            <w:rPr>
              <w:color w:val="602041"/>
            </w:rPr>
            <w:tab/>
          </w:r>
          <w:r>
            <w:rPr>
              <w:color w:val="602041"/>
              <w:spacing w:val="-5"/>
            </w:rPr>
            <w:t>16</w:t>
          </w:r>
        </w:p>
        <w:p>
          <w:pPr>
            <w:pStyle w:val="TOC2"/>
            <w:tabs>
              <w:tab w:pos="9422" w:val="left" w:leader="dot"/>
            </w:tabs>
            <w:spacing w:before="296"/>
          </w:pPr>
          <w:hyperlink w:history="true" w:anchor="_bookmark15">
            <w:r>
              <w:rPr>
                <w:color w:val="602041"/>
              </w:rPr>
              <w:t>Quadro</w:t>
            </w:r>
            <w:r>
              <w:rPr>
                <w:color w:val="602041"/>
                <w:spacing w:val="-6"/>
              </w:rPr>
              <w:t> </w:t>
            </w:r>
            <w:r>
              <w:rPr>
                <w:color w:val="602041"/>
              </w:rPr>
              <w:t>5.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Aplicações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por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Elementos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de</w:t>
            </w:r>
            <w:r>
              <w:rPr>
                <w:color w:val="602041"/>
                <w:spacing w:val="-4"/>
              </w:rPr>
              <w:t> </w:t>
            </w:r>
            <w:r>
              <w:rPr>
                <w:color w:val="602041"/>
              </w:rPr>
              <w:t>Despesas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dos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</w:rPr>
              <w:t>CAU/UF</w:t>
            </w:r>
            <w:r>
              <w:rPr>
                <w:color w:val="602041"/>
                <w:spacing w:val="-3"/>
              </w:rPr>
              <w:t> </w:t>
            </w:r>
            <w:r>
              <w:rPr>
                <w:color w:val="602041"/>
              </w:rPr>
              <w:t>e</w:t>
            </w:r>
            <w:r>
              <w:rPr>
                <w:color w:val="602041"/>
                <w:spacing w:val="-5"/>
              </w:rPr>
              <w:t> </w:t>
            </w:r>
            <w:r>
              <w:rPr>
                <w:color w:val="602041"/>
                <w:spacing w:val="-2"/>
              </w:rPr>
              <w:t>CAU/BR</w:t>
            </w:r>
            <w:r>
              <w:rPr>
                <w:color w:val="602041"/>
              </w:rPr>
              <w:tab/>
            </w:r>
            <w:r>
              <w:rPr>
                <w:color w:val="602041"/>
                <w:spacing w:val="-5"/>
              </w:rPr>
              <w:t>17</w:t>
            </w:r>
          </w:hyperlink>
          <w:r>
            <w:rPr>
              <w:color w:val="602041"/>
              <w:spacing w:val="-5"/>
            </w:rPr>
            <w:t>7</w:t>
          </w:r>
        </w:p>
      </w:sdtContent>
    </w:sdt>
    <w:p>
      <w:pPr>
        <w:spacing w:after="0"/>
        <w:sectPr>
          <w:type w:val="continuous"/>
          <w:pgSz w:w="11910" w:h="16840"/>
          <w:pgMar w:header="689" w:footer="261" w:top="1578" w:bottom="2127" w:left="1300" w:right="680"/>
        </w:sectPr>
      </w:pPr>
    </w:p>
    <w:p>
      <w:pPr>
        <w:tabs>
          <w:tab w:pos="9533" w:val="left" w:leader="dot"/>
        </w:tabs>
        <w:spacing w:before="295"/>
        <w:ind w:left="118" w:right="0" w:firstLine="0"/>
        <w:jc w:val="left"/>
        <w:rPr>
          <w:b/>
          <w:sz w:val="22"/>
        </w:rPr>
      </w:pPr>
      <w:hyperlink w:history="true" w:anchor="_bookmark16">
        <w:r>
          <w:rPr>
            <w:b/>
            <w:color w:val="602041"/>
            <w:sz w:val="22"/>
          </w:rPr>
          <w:t>Quadro</w:t>
        </w:r>
        <w:r>
          <w:rPr>
            <w:b/>
            <w:color w:val="602041"/>
            <w:spacing w:val="-8"/>
            <w:sz w:val="22"/>
          </w:rPr>
          <w:t> </w:t>
        </w:r>
        <w:r>
          <w:rPr>
            <w:b/>
            <w:color w:val="602041"/>
            <w:sz w:val="22"/>
          </w:rPr>
          <w:t>5.1.</w:t>
        </w:r>
        <w:r>
          <w:rPr>
            <w:b/>
            <w:color w:val="602041"/>
            <w:spacing w:val="-5"/>
            <w:sz w:val="22"/>
          </w:rPr>
          <w:t> </w:t>
        </w:r>
        <w:r>
          <w:rPr>
            <w:b/>
            <w:color w:val="602041"/>
            <w:sz w:val="22"/>
          </w:rPr>
          <w:t>Aplicações</w:t>
        </w:r>
        <w:r>
          <w:rPr>
            <w:b/>
            <w:color w:val="602041"/>
            <w:spacing w:val="-6"/>
            <w:sz w:val="22"/>
          </w:rPr>
          <w:t> </w:t>
        </w:r>
        <w:r>
          <w:rPr>
            <w:b/>
            <w:color w:val="602041"/>
            <w:sz w:val="22"/>
          </w:rPr>
          <w:t>dos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z w:val="22"/>
          </w:rPr>
          <w:t>Elementos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z w:val="22"/>
          </w:rPr>
          <w:t>de</w:t>
        </w:r>
        <w:r>
          <w:rPr>
            <w:b/>
            <w:color w:val="602041"/>
            <w:spacing w:val="-5"/>
            <w:sz w:val="22"/>
          </w:rPr>
          <w:t> </w:t>
        </w:r>
        <w:r>
          <w:rPr>
            <w:b/>
            <w:color w:val="602041"/>
            <w:sz w:val="22"/>
          </w:rPr>
          <w:t>Despesas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z w:val="22"/>
          </w:rPr>
          <w:t>dos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z w:val="22"/>
          </w:rPr>
          <w:t>CAU/UF</w:t>
        </w:r>
        <w:r>
          <w:rPr>
            <w:b/>
            <w:color w:val="602041"/>
            <w:spacing w:val="-5"/>
            <w:sz w:val="22"/>
          </w:rPr>
          <w:t> </w:t>
        </w:r>
        <w:r>
          <w:rPr>
            <w:b/>
            <w:color w:val="602041"/>
            <w:sz w:val="22"/>
          </w:rPr>
          <w:t>por</w:t>
        </w:r>
        <w:r>
          <w:rPr>
            <w:b/>
            <w:color w:val="602041"/>
            <w:spacing w:val="-6"/>
            <w:sz w:val="22"/>
          </w:rPr>
          <w:t> </w:t>
        </w:r>
        <w:r>
          <w:rPr>
            <w:b/>
            <w:color w:val="602041"/>
            <w:spacing w:val="-2"/>
            <w:sz w:val="22"/>
          </w:rPr>
          <w:t>Região</w:t>
        </w:r>
      </w:hyperlink>
      <w:r>
        <w:rPr>
          <w:b/>
          <w:color w:val="602041"/>
          <w:sz w:val="22"/>
        </w:rPr>
        <w:tab/>
      </w:r>
      <w:r>
        <w:rPr>
          <w:b/>
          <w:color w:val="602041"/>
          <w:spacing w:val="-5"/>
          <w:sz w:val="22"/>
        </w:rPr>
        <w:t>18</w:t>
      </w:r>
    </w:p>
    <w:p>
      <w:pPr>
        <w:tabs>
          <w:tab w:pos="9645" w:val="left" w:leader="dot"/>
        </w:tabs>
        <w:spacing w:before="293"/>
        <w:ind w:left="118" w:right="0" w:firstLine="0"/>
        <w:jc w:val="left"/>
        <w:rPr>
          <w:b/>
          <w:sz w:val="22"/>
        </w:rPr>
      </w:pPr>
      <w:hyperlink w:history="true" w:anchor="_bookmark6">
        <w:r>
          <w:rPr>
            <w:b/>
            <w:color w:val="602041"/>
            <w:sz w:val="22"/>
          </w:rPr>
          <w:t>Gráfico</w:t>
        </w:r>
        <w:r>
          <w:rPr>
            <w:b/>
            <w:color w:val="602041"/>
            <w:spacing w:val="-5"/>
            <w:sz w:val="22"/>
          </w:rPr>
          <w:t> </w:t>
        </w:r>
        <w:r>
          <w:rPr>
            <w:b/>
            <w:color w:val="602041"/>
            <w:sz w:val="22"/>
          </w:rPr>
          <w:t>1.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z w:val="22"/>
          </w:rPr>
          <w:t>Composição</w:t>
        </w:r>
        <w:r>
          <w:rPr>
            <w:b/>
            <w:color w:val="602041"/>
            <w:spacing w:val="-5"/>
            <w:sz w:val="22"/>
          </w:rPr>
          <w:t> </w:t>
        </w:r>
        <w:r>
          <w:rPr>
            <w:b/>
            <w:color w:val="602041"/>
            <w:sz w:val="22"/>
          </w:rPr>
          <w:t>da</w:t>
        </w:r>
        <w:r>
          <w:rPr>
            <w:b/>
            <w:color w:val="602041"/>
            <w:spacing w:val="-5"/>
            <w:sz w:val="22"/>
          </w:rPr>
          <w:t> </w:t>
        </w:r>
        <w:r>
          <w:rPr>
            <w:b/>
            <w:color w:val="602041"/>
            <w:sz w:val="22"/>
          </w:rPr>
          <w:t>Origem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z w:val="22"/>
          </w:rPr>
          <w:t>de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z w:val="22"/>
          </w:rPr>
          <w:t>Recursos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z w:val="22"/>
          </w:rPr>
          <w:t>do</w:t>
        </w:r>
        <w:r>
          <w:rPr>
            <w:b/>
            <w:color w:val="602041"/>
            <w:spacing w:val="-5"/>
            <w:sz w:val="22"/>
          </w:rPr>
          <w:t> </w:t>
        </w:r>
        <w:r>
          <w:rPr>
            <w:b/>
            <w:color w:val="602041"/>
            <w:spacing w:val="-2"/>
            <w:sz w:val="22"/>
          </w:rPr>
          <w:t>CAU/BR</w:t>
        </w:r>
      </w:hyperlink>
      <w:r>
        <w:rPr>
          <w:b/>
          <w:color w:val="602041"/>
          <w:sz w:val="22"/>
        </w:rPr>
        <w:tab/>
      </w:r>
      <w:r>
        <w:rPr>
          <w:b/>
          <w:color w:val="602041"/>
          <w:spacing w:val="-10"/>
          <w:sz w:val="22"/>
        </w:rPr>
        <w:t>8</w:t>
      </w:r>
    </w:p>
    <w:p>
      <w:pPr>
        <w:tabs>
          <w:tab w:pos="9645" w:val="left" w:leader="dot"/>
        </w:tabs>
        <w:spacing w:before="296"/>
        <w:ind w:left="118" w:right="0" w:firstLine="0"/>
        <w:jc w:val="left"/>
        <w:rPr>
          <w:b/>
          <w:sz w:val="22"/>
        </w:rPr>
      </w:pPr>
      <w:hyperlink w:history="true" w:anchor="_bookmark9">
        <w:r>
          <w:rPr>
            <w:b/>
            <w:color w:val="602041"/>
            <w:sz w:val="22"/>
          </w:rPr>
          <w:t>Gráfico</w:t>
        </w:r>
        <w:r>
          <w:rPr>
            <w:b/>
            <w:color w:val="602041"/>
            <w:spacing w:val="-6"/>
            <w:sz w:val="22"/>
          </w:rPr>
          <w:t> </w:t>
        </w:r>
        <w:r>
          <w:rPr>
            <w:b/>
            <w:color w:val="602041"/>
            <w:sz w:val="22"/>
          </w:rPr>
          <w:t>2.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z w:val="22"/>
          </w:rPr>
          <w:t>Demonstrativo</w:t>
        </w:r>
        <w:r>
          <w:rPr>
            <w:b/>
            <w:color w:val="602041"/>
            <w:spacing w:val="-8"/>
            <w:sz w:val="22"/>
          </w:rPr>
          <w:t> </w:t>
        </w:r>
        <w:r>
          <w:rPr>
            <w:b/>
            <w:color w:val="602041"/>
            <w:sz w:val="22"/>
          </w:rPr>
          <w:t>Comparativo</w:t>
        </w:r>
        <w:r>
          <w:rPr>
            <w:b/>
            <w:color w:val="602041"/>
            <w:spacing w:val="-5"/>
            <w:sz w:val="22"/>
          </w:rPr>
          <w:t> </w:t>
        </w:r>
        <w:r>
          <w:rPr>
            <w:b/>
            <w:color w:val="602041"/>
            <w:sz w:val="22"/>
          </w:rPr>
          <w:t>de</w:t>
        </w:r>
        <w:r>
          <w:rPr>
            <w:b/>
            <w:color w:val="602041"/>
            <w:spacing w:val="-6"/>
            <w:sz w:val="22"/>
          </w:rPr>
          <w:t> </w:t>
        </w:r>
        <w:r>
          <w:rPr>
            <w:b/>
            <w:color w:val="602041"/>
            <w:sz w:val="22"/>
          </w:rPr>
          <w:t>Fontes</w:t>
        </w:r>
        <w:r>
          <w:rPr>
            <w:b/>
            <w:color w:val="602041"/>
            <w:spacing w:val="-5"/>
            <w:sz w:val="22"/>
          </w:rPr>
          <w:t> </w:t>
        </w:r>
        <w:r>
          <w:rPr>
            <w:b/>
            <w:color w:val="602041"/>
            <w:sz w:val="22"/>
          </w:rPr>
          <w:t>dos</w:t>
        </w:r>
        <w:r>
          <w:rPr>
            <w:b/>
            <w:color w:val="602041"/>
            <w:spacing w:val="-4"/>
            <w:sz w:val="22"/>
          </w:rPr>
          <w:t> </w:t>
        </w:r>
        <w:r>
          <w:rPr>
            <w:b/>
            <w:color w:val="602041"/>
            <w:spacing w:val="-2"/>
            <w:sz w:val="22"/>
          </w:rPr>
          <w:t>CAU/UF</w:t>
        </w:r>
      </w:hyperlink>
      <w:r>
        <w:rPr>
          <w:b/>
          <w:color w:val="602041"/>
          <w:sz w:val="22"/>
        </w:rPr>
        <w:tab/>
      </w:r>
      <w:r>
        <w:rPr>
          <w:b/>
          <w:color w:val="602041"/>
          <w:spacing w:val="-10"/>
          <w:sz w:val="22"/>
        </w:rPr>
        <w:t>9</w:t>
      </w:r>
    </w:p>
    <w:p>
      <w:pPr>
        <w:tabs>
          <w:tab w:pos="9509" w:val="left" w:leader="dot"/>
        </w:tabs>
        <w:spacing w:line="360" w:lineRule="auto" w:before="293"/>
        <w:ind w:left="118" w:right="174" w:firstLine="50"/>
        <w:jc w:val="left"/>
        <w:rPr>
          <w:b/>
          <w:sz w:val="22"/>
        </w:rPr>
      </w:pPr>
      <w:r>
        <w:rPr>
          <w:b/>
          <w:color w:val="602041"/>
          <w:sz w:val="22"/>
        </w:rPr>
        <w:t>Gráfico 3. Demonstrativo Comparativo dos Recursos dos CAU/UF (Programação 2022 X Reprogramação </w:t>
      </w:r>
      <w:r>
        <w:rPr>
          <w:b/>
          <w:color w:val="602041"/>
          <w:spacing w:val="-2"/>
          <w:sz w:val="22"/>
        </w:rPr>
        <w:t>2022)</w:t>
      </w:r>
      <w:r>
        <w:rPr>
          <w:b/>
          <w:color w:val="602041"/>
          <w:sz w:val="22"/>
        </w:rPr>
        <w:tab/>
      </w:r>
      <w:r>
        <w:rPr>
          <w:b/>
          <w:color w:val="602041"/>
          <w:spacing w:val="-5"/>
          <w:sz w:val="22"/>
        </w:rPr>
        <w:t>11</w:t>
      </w:r>
    </w:p>
    <w:p>
      <w:pPr>
        <w:spacing w:after="0" w:line="360" w:lineRule="auto"/>
        <w:jc w:val="left"/>
        <w:rPr>
          <w:sz w:val="22"/>
        </w:rPr>
        <w:sectPr>
          <w:type w:val="continuous"/>
          <w:pgSz w:w="11910" w:h="16840"/>
          <w:pgMar w:header="689" w:footer="261" w:top="1580" w:bottom="460" w:left="1300" w:right="680"/>
        </w:sectPr>
      </w:pPr>
    </w:p>
    <w:p>
      <w:pPr>
        <w:pStyle w:val="Heading3"/>
        <w:ind w:left="970" w:firstLine="0"/>
      </w:pPr>
      <w:bookmarkStart w:name="_bookmark1" w:id="2"/>
      <w:bookmarkEnd w:id="2"/>
      <w:r>
        <w:rPr>
          <w:b w:val="0"/>
        </w:rPr>
      </w:r>
      <w:r>
        <w:rPr>
          <w:color w:val="602041"/>
          <w:spacing w:val="-2"/>
        </w:rPr>
        <w:t>INTRODUÇÃO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/>
        <w:ind w:left="118" w:right="164" w:firstLine="851"/>
        <w:jc w:val="both"/>
      </w:pPr>
      <w:bookmarkStart w:name="_bookmark2" w:id="3"/>
      <w:bookmarkEnd w:id="3"/>
      <w:r>
        <w:rPr/>
      </w:r>
      <w:r>
        <w:rPr/>
        <w:t>O planejamento estratégico é um processo contínuo que busca implementar as prioridades, políticas e estratégias definidas para o Conselho, sistematizadas no Planejamento Estratégico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CAU</w:t>
      </w:r>
      <w:r>
        <w:rPr>
          <w:spacing w:val="-5"/>
        </w:rPr>
        <w:t> </w:t>
      </w:r>
      <w:r>
        <w:rPr/>
        <w:t>2013</w:t>
      </w:r>
      <w:r>
        <w:rPr>
          <w:spacing w:val="-7"/>
        </w:rPr>
        <w:t> </w:t>
      </w:r>
      <w:r>
        <w:rPr/>
        <w:t>-</w:t>
      </w:r>
      <w:r>
        <w:rPr>
          <w:spacing w:val="-3"/>
        </w:rPr>
        <w:t> </w:t>
      </w:r>
      <w:r>
        <w:rPr/>
        <w:t>2023.</w:t>
      </w:r>
      <w:r>
        <w:rPr>
          <w:spacing w:val="-6"/>
        </w:rPr>
        <w:t> </w:t>
      </w:r>
      <w:r>
        <w:rPr/>
        <w:t>Sendo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planejamento</w:t>
      </w:r>
      <w:r>
        <w:rPr>
          <w:spacing w:val="-3"/>
        </w:rPr>
        <w:t> </w:t>
      </w:r>
      <w:r>
        <w:rPr/>
        <w:t>estratégico</w:t>
      </w:r>
      <w:r>
        <w:rPr>
          <w:spacing w:val="-6"/>
        </w:rPr>
        <w:t> </w:t>
      </w:r>
      <w:r>
        <w:rPr/>
        <w:t>estruturado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visão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longo prazo, deve ser continuamente avaliado, para alinhar a relação entre os objetivos estratégicos, as metas do Conselho e os projetos prioritários.</w:t>
      </w:r>
    </w:p>
    <w:p>
      <w:pPr>
        <w:spacing w:line="360" w:lineRule="auto" w:before="160"/>
        <w:ind w:left="118" w:right="165" w:firstLine="851"/>
        <w:jc w:val="both"/>
        <w:rPr>
          <w:b/>
          <w:i/>
          <w:sz w:val="24"/>
        </w:rPr>
      </w:pPr>
      <w:r>
        <w:rPr>
          <w:b/>
          <w:i/>
          <w:sz w:val="24"/>
        </w:rPr>
        <w:t>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Reprogramação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Plano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Ação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CAU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para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2022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(Reprogramação)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orienta-se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pela</w:t>
      </w:r>
      <w:r>
        <w:rPr>
          <w:b/>
          <w:i/>
          <w:sz w:val="24"/>
        </w:rPr>
        <w:t> missão do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CAU,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definida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Planejamento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Estratégico 2013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-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2023,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“Promover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Arquitetura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 Urbanismo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para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Todos”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por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sua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visão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futuro,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“Ser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reconhecido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como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referência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na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defesa e fomento das boas práticas da Arquitetura e Urbanismo”.</w:t>
      </w:r>
    </w:p>
    <w:p>
      <w:pPr>
        <w:spacing w:line="360" w:lineRule="auto" w:before="160"/>
        <w:ind w:left="118" w:right="166" w:firstLine="851"/>
        <w:jc w:val="both"/>
        <w:rPr>
          <w:sz w:val="24"/>
        </w:rPr>
      </w:pPr>
      <w:r>
        <w:rPr>
          <w:sz w:val="24"/>
        </w:rPr>
        <w:t>A Reprogramação busca adequar o Plano de Ação e Orçamento do CAU aprovado para 2022, frente a novas políticas e estratégias de atuação do Conselho. As orientações, políticas, prioridades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estratégias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nortearam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elaboração</w:t>
      </w:r>
      <w:r>
        <w:rPr>
          <w:spacing w:val="-8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sz w:val="24"/>
        </w:rPr>
        <w:t>planos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ação</w:t>
      </w:r>
      <w:r>
        <w:rPr>
          <w:spacing w:val="-11"/>
          <w:sz w:val="24"/>
        </w:rPr>
        <w:t> </w:t>
      </w:r>
      <w:r>
        <w:rPr>
          <w:sz w:val="24"/>
        </w:rPr>
        <w:t>dos</w:t>
      </w:r>
      <w:r>
        <w:rPr>
          <w:spacing w:val="-8"/>
          <w:sz w:val="24"/>
        </w:rPr>
        <w:t> </w:t>
      </w:r>
      <w:r>
        <w:rPr>
          <w:sz w:val="24"/>
        </w:rPr>
        <w:t>CAU/UF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CAU/BR, estão contextualizadas no </w:t>
      </w:r>
      <w:r>
        <w:rPr>
          <w:b/>
          <w:sz w:val="24"/>
        </w:rPr>
        <w:t>Planejamento Estratégico do CAU 2013-2023 </w:t>
      </w:r>
      <w:r>
        <w:rPr>
          <w:sz w:val="24"/>
        </w:rPr>
        <w:t>e nas </w:t>
      </w:r>
      <w:r>
        <w:rPr>
          <w:b/>
          <w:sz w:val="24"/>
        </w:rPr>
        <w:t>Diretrizes para Elaboração da Reprogramação do Plano de Ação e Orçamento do CAU Exercício de 2022</w:t>
      </w:r>
      <w:r>
        <w:rPr>
          <w:sz w:val="24"/>
        </w:rPr>
        <w:t>.</w:t>
      </w:r>
    </w:p>
    <w:p>
      <w:pPr>
        <w:pStyle w:val="BodyText"/>
        <w:spacing w:line="360" w:lineRule="auto" w:before="162"/>
        <w:ind w:left="118" w:right="163" w:firstLine="851"/>
        <w:jc w:val="both"/>
      </w:pPr>
      <w:r>
        <w:rPr/>
        <w:t>A Reprogramação engloba as propostas apresentadas pelo CAU/BR e pelos CAU/UF, aprovadas</w:t>
      </w:r>
      <w:r>
        <w:rPr>
          <w:spacing w:val="-1"/>
        </w:rPr>
        <w:t> </w:t>
      </w:r>
      <w:r>
        <w:rPr/>
        <w:t>na </w:t>
      </w:r>
      <w:r>
        <w:rPr>
          <w:b/>
        </w:rPr>
        <w:t>41ª Reunião Plenária Ampliada, de</w:t>
      </w:r>
      <w:r>
        <w:rPr>
          <w:b/>
          <w:spacing w:val="-2"/>
        </w:rPr>
        <w:t> </w:t>
      </w:r>
      <w:r>
        <w:rPr>
          <w:b/>
        </w:rPr>
        <w:t>19 de agosto de 2022, </w:t>
      </w:r>
      <w:r>
        <w:rPr/>
        <w:t>compostas por projetos e atividades,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  <w:r>
        <w:rPr>
          <w:spacing w:val="-2"/>
        </w:rPr>
        <w:t> </w:t>
      </w:r>
      <w:r>
        <w:rPr/>
        <w:t>estruturada,</w:t>
      </w:r>
      <w:r>
        <w:rPr>
          <w:spacing w:val="-3"/>
        </w:rPr>
        <w:t> </w:t>
      </w:r>
      <w:r>
        <w:rPr/>
        <w:t>visando a</w:t>
      </w:r>
      <w:r>
        <w:rPr>
          <w:spacing w:val="-2"/>
        </w:rPr>
        <w:t> </w:t>
      </w:r>
      <w:r>
        <w:rPr/>
        <w:t>contribuição</w:t>
      </w:r>
      <w:r>
        <w:rPr>
          <w:spacing w:val="-2"/>
        </w:rPr>
        <w:t> </w:t>
      </w:r>
      <w:r>
        <w:rPr/>
        <w:t>ao alcance dos objetivos estratégicos, em conformidade com o Mapa Estratégico do CAU 2022, agrupados pelas perspectivas Sociedade, Processos Internos, Pessoas e Infraestrutura (Figura 1).</w:t>
      </w:r>
    </w:p>
    <w:p>
      <w:pPr>
        <w:pStyle w:val="BodyText"/>
        <w:spacing w:line="360" w:lineRule="auto" w:before="160"/>
        <w:ind w:left="118" w:right="163" w:firstLine="851"/>
        <w:jc w:val="both"/>
      </w:pPr>
      <w:r>
        <w:rPr/>
        <w:t>Considerando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propostas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Reprogramação</w:t>
      </w:r>
      <w:r>
        <w:rPr>
          <w:spacing w:val="-6"/>
        </w:rPr>
        <w:t> </w:t>
      </w:r>
      <w:r>
        <w:rPr/>
        <w:t>podem</w:t>
      </w:r>
      <w:r>
        <w:rPr>
          <w:spacing w:val="-9"/>
        </w:rPr>
        <w:t> </w:t>
      </w:r>
      <w:r>
        <w:rPr/>
        <w:t>ser</w:t>
      </w:r>
      <w:r>
        <w:rPr>
          <w:spacing w:val="-9"/>
        </w:rPr>
        <w:t> </w:t>
      </w:r>
      <w:r>
        <w:rPr/>
        <w:t>apresentadas</w:t>
      </w:r>
      <w:r>
        <w:rPr>
          <w:spacing w:val="-6"/>
        </w:rPr>
        <w:t> </w:t>
      </w:r>
      <w:r>
        <w:rPr/>
        <w:t>pelos</w:t>
      </w:r>
      <w:r>
        <w:rPr>
          <w:spacing w:val="-7"/>
        </w:rPr>
        <w:t> </w:t>
      </w:r>
      <w:r>
        <w:rPr/>
        <w:t>CAU/UF em</w:t>
      </w:r>
      <w:r>
        <w:rPr>
          <w:spacing w:val="-4"/>
        </w:rPr>
        <w:t> </w:t>
      </w:r>
      <w:r>
        <w:rPr/>
        <w:t>momentos</w:t>
      </w:r>
      <w:r>
        <w:rPr>
          <w:spacing w:val="-6"/>
        </w:rPr>
        <w:t> </w:t>
      </w:r>
      <w:r>
        <w:rPr/>
        <w:t>distintos,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acordo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suas</w:t>
      </w:r>
      <w:r>
        <w:rPr>
          <w:spacing w:val="-6"/>
        </w:rPr>
        <w:t> </w:t>
      </w:r>
      <w:r>
        <w:rPr/>
        <w:t>próprias</w:t>
      </w:r>
      <w:r>
        <w:rPr>
          <w:spacing w:val="-5"/>
        </w:rPr>
        <w:t> </w:t>
      </w:r>
      <w:r>
        <w:rPr/>
        <w:t>realidades,</w:t>
      </w:r>
      <w:r>
        <w:rPr>
          <w:spacing w:val="-4"/>
        </w:rPr>
        <w:t> </w:t>
      </w:r>
      <w:r>
        <w:rPr/>
        <w:t>é</w:t>
      </w:r>
      <w:r>
        <w:rPr>
          <w:spacing w:val="-6"/>
        </w:rPr>
        <w:t> </w:t>
      </w:r>
      <w:r>
        <w:rPr/>
        <w:t>importante</w:t>
      </w:r>
      <w:r>
        <w:rPr>
          <w:spacing w:val="-6"/>
        </w:rPr>
        <w:t> </w:t>
      </w:r>
      <w:r>
        <w:rPr/>
        <w:t>mencionar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este documento consolida também as Reprogramações Extraordinárias dos CAU/SP e CAU/AM, aprovadas nas plenárias do CAU/BR realizadas em março e maio, respectivamente.</w:t>
      </w:r>
    </w:p>
    <w:p>
      <w:pPr>
        <w:pStyle w:val="BodyText"/>
        <w:spacing w:line="360" w:lineRule="auto" w:before="160"/>
        <w:ind w:left="118" w:right="164" w:firstLine="851"/>
        <w:jc w:val="both"/>
      </w:pPr>
      <w:r>
        <w:rPr/>
        <w:t>Na elaboração das propostas de projetos e atividades a serem desenvolvidas pelo CAU na Reprogramação, como forma de potencializar sua atuação, medir e comunicar resultados para o público-alvo e a sociedade em geral, além de serem observadas as contribuições à estratégia nacional, também foram observadas as prioridades locais, capacidade operacional e evolução dos profissionais.</w:t>
      </w:r>
      <w:r>
        <w:rPr>
          <w:spacing w:val="40"/>
        </w:rPr>
        <w:t> </w:t>
      </w:r>
      <w:r>
        <w:rPr/>
        <w:t>Vale ressaltar que foram considerados os novos descontos e regras das anuidades previstos</w:t>
      </w:r>
      <w:r>
        <w:rPr>
          <w:spacing w:val="-14"/>
        </w:rPr>
        <w:t> </w:t>
      </w:r>
      <w:r>
        <w:rPr/>
        <w:t>nas</w:t>
      </w:r>
      <w:r>
        <w:rPr>
          <w:spacing w:val="-14"/>
        </w:rPr>
        <w:t> </w:t>
      </w:r>
      <w:r>
        <w:rPr/>
        <w:t>Resoluções</w:t>
      </w:r>
      <w:r>
        <w:rPr>
          <w:spacing w:val="-13"/>
        </w:rPr>
        <w:t> </w:t>
      </w:r>
      <w:r>
        <w:rPr/>
        <w:t>nº</w:t>
      </w:r>
      <w:r>
        <w:rPr>
          <w:spacing w:val="-14"/>
        </w:rPr>
        <w:t> </w:t>
      </w:r>
      <w:r>
        <w:rPr/>
        <w:t>204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211/2021,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alterou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Resolução</w:t>
      </w:r>
      <w:r>
        <w:rPr>
          <w:spacing w:val="-14"/>
        </w:rPr>
        <w:t> </w:t>
      </w:r>
      <w:r>
        <w:rPr/>
        <w:t>nº</w:t>
      </w:r>
      <w:r>
        <w:rPr>
          <w:spacing w:val="-13"/>
        </w:rPr>
        <w:t> </w:t>
      </w:r>
      <w:r>
        <w:rPr/>
        <w:t>193/2020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as</w:t>
      </w:r>
      <w:r>
        <w:rPr>
          <w:spacing w:val="-14"/>
        </w:rPr>
        <w:t> </w:t>
      </w:r>
      <w:r>
        <w:rPr/>
        <w:t>projeções da Reprogramação 2022.</w:t>
      </w:r>
    </w:p>
    <w:p>
      <w:pPr>
        <w:spacing w:after="0" w:line="360" w:lineRule="auto"/>
        <w:jc w:val="both"/>
        <w:sectPr>
          <w:pgSz w:w="11910" w:h="16840"/>
          <w:pgMar w:header="689" w:footer="261" w:top="1580" w:bottom="460" w:left="1300" w:right="680"/>
        </w:sectPr>
      </w:pPr>
    </w:p>
    <w:p>
      <w:pPr>
        <w:pStyle w:val="BodyText"/>
        <w:spacing w:line="360" w:lineRule="auto" w:before="14"/>
        <w:ind w:left="118" w:right="164" w:firstLine="851"/>
        <w:jc w:val="both"/>
      </w:pPr>
      <w:r>
        <w:rPr/>
        <w:t>Visando o alcance de resultados que façam a diferença na atuação dos arquitetos e urbanistas</w:t>
      </w:r>
      <w:r>
        <w:rPr>
          <w:spacing w:val="-7"/>
        </w:rPr>
        <w:t> </w:t>
      </w:r>
      <w:r>
        <w:rPr/>
        <w:t>brasileiros,</w:t>
      </w:r>
      <w:r>
        <w:rPr>
          <w:spacing w:val="-4"/>
        </w:rPr>
        <w:t> </w:t>
      </w:r>
      <w:r>
        <w:rPr/>
        <w:t>serão</w:t>
      </w:r>
      <w:r>
        <w:rPr>
          <w:spacing w:val="-4"/>
        </w:rPr>
        <w:t> </w:t>
      </w:r>
      <w:r>
        <w:rPr/>
        <w:t>implementadas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Reprogramação</w:t>
      </w:r>
      <w:r>
        <w:rPr>
          <w:spacing w:val="-5"/>
        </w:rPr>
        <w:t> </w:t>
      </w:r>
      <w:r>
        <w:rPr/>
        <w:t>03</w:t>
      </w:r>
      <w:r>
        <w:rPr>
          <w:spacing w:val="-4"/>
        </w:rPr>
        <w:t> </w:t>
      </w:r>
      <w:r>
        <w:rPr/>
        <w:t>(três)</w:t>
      </w:r>
      <w:r>
        <w:rPr>
          <w:spacing w:val="-5"/>
        </w:rPr>
        <w:t> </w:t>
      </w:r>
      <w:r>
        <w:rPr/>
        <w:t>Objetivos</w:t>
      </w:r>
      <w:r>
        <w:rPr>
          <w:spacing w:val="-5"/>
        </w:rPr>
        <w:t> </w:t>
      </w:r>
      <w:r>
        <w:rPr/>
        <w:t>Estratégicos de</w:t>
      </w:r>
      <w:r>
        <w:rPr>
          <w:spacing w:val="-4"/>
        </w:rPr>
        <w:t> </w:t>
      </w:r>
      <w:r>
        <w:rPr/>
        <w:t>âmbito</w:t>
      </w:r>
      <w:r>
        <w:rPr>
          <w:spacing w:val="-4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(figura</w:t>
      </w:r>
      <w:r>
        <w:rPr>
          <w:spacing w:val="-2"/>
        </w:rPr>
        <w:t> </w:t>
      </w:r>
      <w:r>
        <w:rPr/>
        <w:t>01).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melhor</w:t>
      </w:r>
      <w:r>
        <w:rPr>
          <w:spacing w:val="-4"/>
        </w:rPr>
        <w:t> </w:t>
      </w:r>
      <w:r>
        <w:rPr/>
        <w:t>atender</w:t>
      </w:r>
      <w:r>
        <w:rPr>
          <w:spacing w:val="-1"/>
        </w:rPr>
        <w:t> </w:t>
      </w:r>
      <w:r>
        <w:rPr/>
        <w:t>as</w:t>
      </w:r>
      <w:r>
        <w:rPr>
          <w:spacing w:val="-6"/>
        </w:rPr>
        <w:t> </w:t>
      </w:r>
      <w:r>
        <w:rPr/>
        <w:t>prioridades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atuação</w:t>
      </w:r>
      <w:r>
        <w:rPr>
          <w:spacing w:val="-1"/>
        </w:rPr>
        <w:t> </w:t>
      </w:r>
      <w:r>
        <w:rPr/>
        <w:t>local,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CAU/UF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o CAU/BR também elencaram outros objetivos estratégicos locais (figura</w:t>
      </w:r>
      <w:r>
        <w:rPr>
          <w:spacing w:val="-1"/>
        </w:rPr>
        <w:t> </w:t>
      </w:r>
      <w:r>
        <w:rPr/>
        <w:t>01), e foram retratados em seus próprios mapas estratégicos.</w:t>
      </w:r>
    </w:p>
    <w:p>
      <w:pPr>
        <w:pStyle w:val="BodyText"/>
        <w:spacing w:line="360" w:lineRule="auto" w:before="159"/>
        <w:ind w:left="118" w:right="168" w:firstLine="851"/>
        <w:jc w:val="both"/>
      </w:pPr>
      <w:r>
        <w:rPr/>
        <w:t>O Mapa Estratégico do CAU – 2022 (figura 1), ilustra o consolidado dos quantitativos dos objetivos</w:t>
      </w:r>
      <w:r>
        <w:rPr>
          <w:spacing w:val="-2"/>
        </w:rPr>
        <w:t> </w:t>
      </w:r>
      <w:r>
        <w:rPr/>
        <w:t>estratégicos</w:t>
      </w:r>
      <w:r>
        <w:rPr>
          <w:spacing w:val="-2"/>
        </w:rPr>
        <w:t> </w:t>
      </w:r>
      <w:r>
        <w:rPr/>
        <w:t>escolhidos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CAU/UF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suas</w:t>
      </w:r>
      <w:r>
        <w:rPr>
          <w:spacing w:val="-2"/>
        </w:rPr>
        <w:t> </w:t>
      </w:r>
      <w:r>
        <w:rPr/>
        <w:t>propostas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Reprogramação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Plano de Ação para o exercício de 2022 de acordo com suas prioridades locais e objetivos nacionais do </w:t>
      </w:r>
      <w:r>
        <w:rPr>
          <w:spacing w:val="-4"/>
        </w:rPr>
        <w:t>CAU.</w:t>
      </w:r>
    </w:p>
    <w:p>
      <w:pPr>
        <w:pStyle w:val="Heading4"/>
        <w:spacing w:before="161"/>
        <w:ind w:left="6076"/>
      </w:pPr>
      <w:r>
        <w:rPr/>
        <w:t>Figura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Mapa</w:t>
      </w:r>
      <w:r>
        <w:rPr>
          <w:spacing w:val="-2"/>
        </w:rPr>
        <w:t> </w:t>
      </w:r>
      <w:r>
        <w:rPr/>
        <w:t>Estratégico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5"/>
        </w:rPr>
        <w:t>CAU</w:t>
      </w: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900430</wp:posOffset>
            </wp:positionH>
            <wp:positionV relativeFrom="paragraph">
              <wp:posOffset>194534</wp:posOffset>
            </wp:positionV>
            <wp:extent cx="5949433" cy="330898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33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0" w:lineRule="auto"/>
        <w:ind w:left="118" w:right="164" w:firstLine="851"/>
        <w:jc w:val="both"/>
      </w:pPr>
      <w:r>
        <w:rPr/>
        <w:t>Em 2022 o CAU mantém como uma de suas prioridades as ações voltadas para a atuação da profissão</w:t>
      </w:r>
      <w:r>
        <w:rPr>
          <w:spacing w:val="-1"/>
        </w:rPr>
        <w:t> </w:t>
      </w:r>
      <w:r>
        <w:rPr/>
        <w:t>junto às</w:t>
      </w:r>
      <w:r>
        <w:rPr>
          <w:spacing w:val="-2"/>
        </w:rPr>
        <w:t> </w:t>
      </w:r>
      <w:r>
        <w:rPr/>
        <w:t>classes menos</w:t>
      </w:r>
      <w:r>
        <w:rPr>
          <w:spacing w:val="-1"/>
        </w:rPr>
        <w:t> </w:t>
      </w:r>
      <w:r>
        <w:rPr/>
        <w:t>favorecidas, com ações implementadas por meio de iniciativas estratégicas em </w:t>
      </w:r>
      <w:r>
        <w:rPr>
          <w:b/>
        </w:rPr>
        <w:t>Assistência Técnica em Habitações de Interesse Social ATHIS</w:t>
      </w:r>
      <w:r>
        <w:rPr/>
        <w:t>, considerando aspectos</w:t>
      </w:r>
      <w:r>
        <w:rPr>
          <w:spacing w:val="-14"/>
        </w:rPr>
        <w:t> </w:t>
      </w:r>
      <w:r>
        <w:rPr/>
        <w:t>relevantes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melhoria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qualidade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vida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população,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acordo</w:t>
      </w:r>
      <w:r>
        <w:rPr>
          <w:spacing w:val="-14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Resolução CAU/BR nº 94, de 07 de novembro de 2014, e os princípios da Lei n° 11.888/2008.</w:t>
      </w:r>
    </w:p>
    <w:p>
      <w:pPr>
        <w:pStyle w:val="BodyText"/>
        <w:spacing w:line="360" w:lineRule="auto" w:before="159"/>
        <w:ind w:left="118" w:right="165" w:firstLine="851"/>
        <w:jc w:val="both"/>
      </w:pPr>
      <w:r>
        <w:rPr/>
        <w:t>Em 2022, as ações do CAU, em todo território nacional, estão voltadas para um público alvo composto por aproximadamente </w:t>
      </w:r>
      <w:r>
        <w:rPr>
          <w:b/>
        </w:rPr>
        <w:t>217.709 mil </w:t>
      </w:r>
      <w:r>
        <w:rPr/>
        <w:t>arquitetos, </w:t>
      </w:r>
      <w:r>
        <w:rPr>
          <w:b/>
        </w:rPr>
        <w:t>31.668 mil </w:t>
      </w:r>
      <w:r>
        <w:rPr/>
        <w:t>empresas de arquitetura e,</w:t>
      </w:r>
      <w:r>
        <w:rPr>
          <w:spacing w:val="-7"/>
        </w:rPr>
        <w:t> </w:t>
      </w:r>
      <w:r>
        <w:rPr/>
        <w:t>com</w:t>
      </w:r>
      <w:r>
        <w:rPr>
          <w:spacing w:val="-7"/>
        </w:rPr>
        <w:t> </w:t>
      </w:r>
      <w:r>
        <w:rPr/>
        <w:t>atividades</w:t>
      </w:r>
      <w:r>
        <w:rPr>
          <w:spacing w:val="-7"/>
        </w:rPr>
        <w:t> </w:t>
      </w:r>
      <w:r>
        <w:rPr/>
        <w:t>profissionais</w:t>
      </w:r>
      <w:r>
        <w:rPr>
          <w:spacing w:val="-7"/>
        </w:rPr>
        <w:t> </w:t>
      </w:r>
      <w:r>
        <w:rPr/>
        <w:t>representadas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>
          <w:b/>
        </w:rPr>
        <w:t>995.403</w:t>
      </w:r>
      <w:r>
        <w:rPr>
          <w:b/>
          <w:spacing w:val="-6"/>
        </w:rPr>
        <w:t> </w:t>
      </w:r>
      <w:r>
        <w:rPr>
          <w:b/>
        </w:rPr>
        <w:t>mil</w:t>
      </w:r>
      <w:r>
        <w:rPr>
          <w:b/>
          <w:spacing w:val="-6"/>
        </w:rPr>
        <w:t> </w:t>
      </w:r>
      <w:r>
        <w:rPr/>
        <w:t>RRT.</w:t>
      </w:r>
      <w:r>
        <w:rPr>
          <w:spacing w:val="-7"/>
        </w:rPr>
        <w:t> </w:t>
      </w:r>
      <w:r>
        <w:rPr/>
        <w:t>Frente</w:t>
      </w:r>
      <w:r>
        <w:rPr>
          <w:spacing w:val="-12"/>
        </w:rPr>
        <w:t> </w:t>
      </w:r>
      <w:r>
        <w:rPr/>
        <w:t>à</w:t>
      </w:r>
      <w:r>
        <w:rPr>
          <w:spacing w:val="-7"/>
        </w:rPr>
        <w:t> </w:t>
      </w:r>
      <w:r>
        <w:rPr/>
        <w:t>programação</w:t>
      </w:r>
      <w:r>
        <w:rPr>
          <w:spacing w:val="-7"/>
        </w:rPr>
        <w:t> </w:t>
      </w:r>
      <w:r>
        <w:rPr/>
        <w:t>inicial,</w:t>
      </w:r>
      <w:r>
        <w:rPr>
          <w:spacing w:val="-9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1910" w:h="16840"/>
          <w:pgMar w:header="689" w:footer="261" w:top="1580" w:bottom="460" w:left="1300" w:right="680"/>
        </w:sectPr>
      </w:pPr>
    </w:p>
    <w:p>
      <w:pPr>
        <w:pStyle w:val="BodyText"/>
        <w:spacing w:line="360" w:lineRule="auto" w:before="14"/>
        <w:ind w:left="118" w:right="166"/>
        <w:jc w:val="both"/>
      </w:pPr>
      <w:r>
        <w:rPr/>
        <w:t>apresentam as seguintes variações: </w:t>
      </w:r>
      <w:r>
        <w:rPr>
          <w:b/>
        </w:rPr>
        <w:t>(i) </w:t>
      </w:r>
      <w:r>
        <w:rPr/>
        <w:t>crescimento de 1,3% para profissionais ativos e 8,5% para empresas ativas; e </w:t>
      </w:r>
      <w:r>
        <w:rPr>
          <w:b/>
        </w:rPr>
        <w:t>(ii) </w:t>
      </w:r>
      <w:r>
        <w:rPr/>
        <w:t>de 5,2% para os RRT emitidos, de acordo com as projeções definidas das Diretrizes da Reprogramação Orçamentária dos Planos de Ação de 2022.</w:t>
      </w:r>
    </w:p>
    <w:p>
      <w:pPr>
        <w:spacing w:line="360" w:lineRule="auto" w:before="160"/>
        <w:ind w:left="118" w:right="165" w:firstLine="851"/>
        <w:jc w:val="both"/>
        <w:rPr>
          <w:sz w:val="24"/>
        </w:rPr>
      </w:pP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direcionadores</w:t>
      </w:r>
      <w:r>
        <w:rPr>
          <w:spacing w:val="-1"/>
          <w:sz w:val="24"/>
        </w:rPr>
        <w:t> </w:t>
      </w:r>
      <w:r>
        <w:rPr>
          <w:sz w:val="24"/>
        </w:rPr>
        <w:t>estratégicos,</w:t>
      </w:r>
      <w:r>
        <w:rPr>
          <w:spacing w:val="-2"/>
          <w:sz w:val="24"/>
        </w:rPr>
        <w:t> </w:t>
      </w:r>
      <w:r>
        <w:rPr>
          <w:sz w:val="24"/>
        </w:rPr>
        <w:t>objeto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todo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processo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Planejamento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CAU</w:t>
      </w:r>
      <w:r>
        <w:rPr>
          <w:spacing w:val="-2"/>
          <w:sz w:val="24"/>
        </w:rPr>
        <w:t> </w:t>
      </w:r>
      <w:r>
        <w:rPr>
          <w:sz w:val="24"/>
        </w:rPr>
        <w:t>2023, e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programações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CAU/UF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CAU/BR,</w:t>
      </w:r>
      <w:r>
        <w:rPr>
          <w:spacing w:val="-9"/>
          <w:sz w:val="24"/>
        </w:rPr>
        <w:t> </w:t>
      </w:r>
      <w:r>
        <w:rPr>
          <w:sz w:val="24"/>
        </w:rPr>
        <w:t>na</w:t>
      </w:r>
      <w:r>
        <w:rPr>
          <w:spacing w:val="-11"/>
          <w:sz w:val="24"/>
        </w:rPr>
        <w:t> </w:t>
      </w:r>
      <w:r>
        <w:rPr>
          <w:sz w:val="24"/>
        </w:rPr>
        <w:t>forma</w:t>
      </w:r>
      <w:r>
        <w:rPr>
          <w:spacing w:val="-11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sz w:val="24"/>
        </w:rPr>
        <w:t>projetos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atividades</w:t>
      </w:r>
      <w:r>
        <w:rPr>
          <w:spacing w:val="-11"/>
          <w:sz w:val="24"/>
        </w:rPr>
        <w:t> </w:t>
      </w:r>
      <w:r>
        <w:rPr>
          <w:sz w:val="24"/>
        </w:rPr>
        <w:t>estruturados</w:t>
      </w:r>
      <w:r>
        <w:rPr>
          <w:spacing w:val="-11"/>
          <w:sz w:val="24"/>
        </w:rPr>
        <w:t> </w:t>
      </w:r>
      <w:r>
        <w:rPr>
          <w:sz w:val="24"/>
        </w:rPr>
        <w:t>nos Planos de Ação e Orçamento, apontam que a Reprogramação do Plano de Ação 2022, enfatizando a </w:t>
      </w:r>
      <w:r>
        <w:rPr>
          <w:b/>
          <w:sz w:val="24"/>
        </w:rPr>
        <w:t>alocação estratégica de recursos </w:t>
      </w:r>
      <w:r>
        <w:rPr>
          <w:sz w:val="24"/>
        </w:rPr>
        <w:t>como forma de garantir a implementação do planejamento do CAU e o alcance dos resultados institucionais da Visão de Futuro 2023, focam em: </w:t>
      </w:r>
      <w:r>
        <w:rPr>
          <w:b/>
          <w:sz w:val="24"/>
        </w:rPr>
        <w:t>Fiscalização, Atendimento, Objetivos Estratégicos Locais, Capacitação, Comunicação, Patrocínios e ATHIS</w:t>
      </w:r>
      <w:r>
        <w:rPr>
          <w:sz w:val="24"/>
        </w:rPr>
        <w:t>, conforme limites especificados no documento das Diretrizes da Reprogramação 2022.</w:t>
      </w:r>
    </w:p>
    <w:p>
      <w:pPr>
        <w:pStyle w:val="BodyText"/>
        <w:spacing w:line="360" w:lineRule="auto" w:before="159"/>
        <w:ind w:left="118" w:right="166" w:firstLine="851"/>
        <w:jc w:val="both"/>
      </w:pPr>
      <w:r>
        <w:rPr/>
        <w:t>Esta reprogramação também contempla orientações estratégicas para: </w:t>
      </w:r>
      <w:r>
        <w:rPr>
          <w:b/>
        </w:rPr>
        <w:t>(i) </w:t>
      </w:r>
      <w:r>
        <w:rPr/>
        <w:t>destinação de </w:t>
      </w:r>
      <w:r>
        <w:rPr>
          <w:b/>
        </w:rPr>
        <w:t>gastos com pessoal </w:t>
      </w:r>
      <w:r>
        <w:rPr/>
        <w:t>(salários, encargos e benefícios); e </w:t>
      </w:r>
      <w:r>
        <w:rPr>
          <w:b/>
        </w:rPr>
        <w:t>(ii) “Reserva de Contingência”</w:t>
      </w:r>
      <w:r>
        <w:rPr/>
        <w:t>, com o objetivo de suportar eventuais ações de natureza estratégica e operacional não contempladas na Reprogramação do Plano de Ação aprovada.</w:t>
      </w:r>
    </w:p>
    <w:p>
      <w:pPr>
        <w:pStyle w:val="BodyText"/>
      </w:pPr>
    </w:p>
    <w:p>
      <w:pPr>
        <w:pStyle w:val="BodyText"/>
      </w:pPr>
    </w:p>
    <w:p>
      <w:pPr>
        <w:pStyle w:val="Heading3"/>
        <w:numPr>
          <w:ilvl w:val="0"/>
          <w:numId w:val="2"/>
        </w:numPr>
        <w:tabs>
          <w:tab w:pos="1190" w:val="left" w:leader="none"/>
        </w:tabs>
        <w:spacing w:line="240" w:lineRule="auto" w:before="175" w:after="0"/>
        <w:ind w:left="1189" w:right="0" w:hanging="220"/>
        <w:jc w:val="left"/>
      </w:pPr>
      <w:bookmarkStart w:name="_bookmark3" w:id="4"/>
      <w:bookmarkEnd w:id="4"/>
      <w:r>
        <w:rPr>
          <w:color w:val="602041"/>
        </w:rPr>
        <w:t>ORIGE</w:t>
      </w:r>
      <w:r>
        <w:rPr>
          <w:color w:val="602041"/>
        </w:rPr>
        <w:t>M</w:t>
      </w:r>
      <w:r>
        <w:rPr>
          <w:color w:val="602041"/>
          <w:spacing w:val="-6"/>
        </w:rPr>
        <w:t> </w:t>
      </w:r>
      <w:r>
        <w:rPr>
          <w:color w:val="602041"/>
        </w:rPr>
        <w:t>DOS</w:t>
      </w:r>
      <w:r>
        <w:rPr>
          <w:color w:val="602041"/>
          <w:spacing w:val="-5"/>
        </w:rPr>
        <w:t> </w:t>
      </w:r>
      <w:r>
        <w:rPr>
          <w:color w:val="602041"/>
          <w:spacing w:val="-2"/>
        </w:rPr>
        <w:t>RECURSOS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/>
        <w:ind w:left="118" w:right="166" w:firstLine="851"/>
        <w:jc w:val="both"/>
      </w:pPr>
      <w:r>
        <w:rPr/>
        <w:t>A</w:t>
      </w:r>
      <w:r>
        <w:rPr>
          <w:spacing w:val="-2"/>
        </w:rPr>
        <w:t> </w:t>
      </w:r>
      <w:r>
        <w:rPr/>
        <w:t>proposta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Reprogramação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Plano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Ação</w:t>
      </w:r>
      <w:r>
        <w:rPr>
          <w:spacing w:val="-6"/>
        </w:rPr>
        <w:t> </w:t>
      </w:r>
      <w:r>
        <w:rPr/>
        <w:t>e</w:t>
      </w:r>
      <w:r>
        <w:rPr>
          <w:spacing w:val="-2"/>
        </w:rPr>
        <w:t> </w:t>
      </w:r>
      <w:r>
        <w:rPr/>
        <w:t>Orçamento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Conselho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Arquitetura e Urbanismo para o exercício de 2022, submetida à aprovação do Plenário do CAU/BR na </w:t>
      </w:r>
      <w:r>
        <w:rPr>
          <w:b/>
        </w:rPr>
        <w:t>41ª Reunião Plenária Ampliada, de 19 de agosto de 2022, </w:t>
      </w:r>
      <w:r>
        <w:rPr/>
        <w:t>compreende as propostas de 25 CAU/UF e CAU/BR.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CAU</w:t>
      </w:r>
      <w:r>
        <w:rPr>
          <w:spacing w:val="-6"/>
        </w:rPr>
        <w:t> </w:t>
      </w:r>
      <w:r>
        <w:rPr/>
        <w:t>PI,</w:t>
      </w:r>
      <w:r>
        <w:rPr>
          <w:spacing w:val="-6"/>
        </w:rPr>
        <w:t> </w:t>
      </w:r>
      <w:r>
        <w:rPr/>
        <w:t>PR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RO</w:t>
      </w:r>
      <w:r>
        <w:rPr>
          <w:spacing w:val="-8"/>
        </w:rPr>
        <w:t> </w:t>
      </w:r>
      <w:r>
        <w:rPr/>
        <w:t>apresentaram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Reprogramações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plenária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CAU/BR</w:t>
      </w:r>
      <w:r>
        <w:rPr>
          <w:spacing w:val="-7"/>
        </w:rPr>
        <w:t> </w:t>
      </w:r>
      <w:r>
        <w:rPr/>
        <w:t>realizada</w:t>
      </w:r>
      <w:r>
        <w:rPr>
          <w:spacing w:val="-9"/>
        </w:rPr>
        <w:t> </w:t>
      </w:r>
      <w:r>
        <w:rPr/>
        <w:t>em </w:t>
      </w:r>
      <w:r>
        <w:rPr>
          <w:spacing w:val="-2"/>
        </w:rPr>
        <w:t>outubro/22.</w:t>
      </w:r>
    </w:p>
    <w:p>
      <w:pPr>
        <w:pStyle w:val="Heading3"/>
        <w:numPr>
          <w:ilvl w:val="1"/>
          <w:numId w:val="2"/>
        </w:numPr>
        <w:tabs>
          <w:tab w:pos="1420" w:val="left" w:leader="none"/>
        </w:tabs>
        <w:spacing w:line="240" w:lineRule="auto" w:before="162" w:after="0"/>
        <w:ind w:left="1419" w:right="0" w:hanging="450"/>
        <w:jc w:val="left"/>
      </w:pPr>
      <w:bookmarkStart w:name="_bookmark4" w:id="5"/>
      <w:bookmarkEnd w:id="5"/>
      <w:r>
        <w:rPr>
          <w:color w:val="602041"/>
        </w:rPr>
        <w:t>Do</w:t>
      </w:r>
      <w:r>
        <w:rPr>
          <w:color w:val="602041"/>
        </w:rPr>
        <w:t>s</w:t>
      </w:r>
      <w:r>
        <w:rPr>
          <w:color w:val="602041"/>
          <w:spacing w:val="-4"/>
        </w:rPr>
        <w:t> </w:t>
      </w:r>
      <w:r>
        <w:rPr>
          <w:color w:val="602041"/>
        </w:rPr>
        <w:t>Recursos</w:t>
      </w:r>
      <w:r>
        <w:rPr>
          <w:color w:val="602041"/>
          <w:spacing w:val="-4"/>
        </w:rPr>
        <w:t> </w:t>
      </w:r>
      <w:r>
        <w:rPr>
          <w:color w:val="602041"/>
        </w:rPr>
        <w:t>do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CAU/BR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360" w:lineRule="auto"/>
        <w:ind w:left="118" w:right="164" w:firstLine="851"/>
        <w:jc w:val="both"/>
      </w:pPr>
      <w:r>
        <w:rPr/>
        <w:t>Os recursos destinados ao CAU/BR, para o desenvolvimento dos Planos de Ação contemplados nesta proposta de Reprogramação para o exercício de 2022, totalizam R$ 82,40 milhões.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comparação</w:t>
      </w:r>
      <w:r>
        <w:rPr>
          <w:spacing w:val="-5"/>
        </w:rPr>
        <w:t> </w:t>
      </w:r>
      <w:r>
        <w:rPr/>
        <w:t>ao</w:t>
      </w:r>
      <w:r>
        <w:rPr>
          <w:spacing w:val="-2"/>
        </w:rPr>
        <w:t> </w:t>
      </w:r>
      <w:r>
        <w:rPr/>
        <w:t>inicialmente</w:t>
      </w:r>
      <w:r>
        <w:rPr>
          <w:spacing w:val="-2"/>
        </w:rPr>
        <w:t> </w:t>
      </w:r>
      <w:r>
        <w:rPr/>
        <w:t>aprovado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exercício</w:t>
      </w:r>
      <w:r>
        <w:rPr>
          <w:spacing w:val="-2"/>
        </w:rPr>
        <w:t> </w:t>
      </w:r>
      <w:r>
        <w:rPr/>
        <w:t>(R$</w:t>
      </w:r>
      <w:r>
        <w:rPr>
          <w:spacing w:val="-3"/>
        </w:rPr>
        <w:t> </w:t>
      </w:r>
      <w:r>
        <w:rPr/>
        <w:t>80,88</w:t>
      </w:r>
      <w:r>
        <w:rPr>
          <w:spacing w:val="-4"/>
        </w:rPr>
        <w:t> </w:t>
      </w:r>
      <w:r>
        <w:rPr/>
        <w:t>milhões),</w:t>
      </w:r>
      <w:r>
        <w:rPr>
          <w:spacing w:val="-2"/>
        </w:rPr>
        <w:t> </w:t>
      </w:r>
      <w:r>
        <w:rPr/>
        <w:t>verifica- se uma variação positiva de 1,9%, ou um acréscimo de R$ 1,52 milhão no montante de recursos inicialmente previstos.</w:t>
      </w:r>
    </w:p>
    <w:p>
      <w:pPr>
        <w:spacing w:line="360" w:lineRule="auto" w:before="160"/>
        <w:ind w:left="118" w:right="166" w:firstLine="851"/>
        <w:jc w:val="both"/>
        <w:rPr>
          <w:sz w:val="24"/>
        </w:rPr>
      </w:pPr>
      <w:r>
        <w:rPr>
          <w:sz w:val="24"/>
        </w:rPr>
        <w:t>Das </w:t>
      </w:r>
      <w:r>
        <w:rPr>
          <w:b/>
          <w:sz w:val="24"/>
        </w:rPr>
        <w:t>Fontes de Recursos do CAU/BR </w:t>
      </w:r>
      <w:r>
        <w:rPr>
          <w:sz w:val="24"/>
        </w:rPr>
        <w:t>para suportar a realização das ações constantes no Plano de Ação reprogramado, representadas em </w:t>
      </w:r>
      <w:r>
        <w:rPr>
          <w:b/>
          <w:sz w:val="24"/>
        </w:rPr>
        <w:t>86 iniciativas estratégicas, 50,9% </w:t>
      </w:r>
      <w:r>
        <w:rPr>
          <w:sz w:val="24"/>
        </w:rPr>
        <w:t>dos recursos totais,</w:t>
      </w:r>
      <w:r>
        <w:rPr>
          <w:spacing w:val="-2"/>
          <w:sz w:val="24"/>
        </w:rPr>
        <w:t> </w:t>
      </w:r>
      <w:r>
        <w:rPr>
          <w:sz w:val="24"/>
        </w:rPr>
        <w:t>ou R$</w:t>
      </w:r>
      <w:r>
        <w:rPr>
          <w:spacing w:val="-2"/>
          <w:sz w:val="24"/>
        </w:rPr>
        <w:t> </w:t>
      </w:r>
      <w:r>
        <w:rPr>
          <w:sz w:val="24"/>
        </w:rPr>
        <w:t>41,95</w:t>
      </w:r>
      <w:r>
        <w:rPr>
          <w:spacing w:val="-2"/>
          <w:sz w:val="24"/>
        </w:rPr>
        <w:t> </w:t>
      </w:r>
      <w:r>
        <w:rPr>
          <w:sz w:val="24"/>
        </w:rPr>
        <w:t>milhões, advêm</w:t>
      </w:r>
      <w:r>
        <w:rPr>
          <w:spacing w:val="-2"/>
          <w:sz w:val="24"/>
        </w:rPr>
        <w:t> </w:t>
      </w:r>
      <w:r>
        <w:rPr>
          <w:sz w:val="24"/>
        </w:rPr>
        <w:t>das </w:t>
      </w:r>
      <w:r>
        <w:rPr>
          <w:b/>
          <w:sz w:val="24"/>
        </w:rPr>
        <w:t>receitas de arrecadação </w:t>
      </w:r>
      <w:r>
        <w:rPr>
          <w:sz w:val="24"/>
        </w:rPr>
        <w:t>(anuidades de</w:t>
      </w:r>
      <w:r>
        <w:rPr>
          <w:spacing w:val="-2"/>
          <w:sz w:val="24"/>
        </w:rPr>
        <w:t> </w:t>
      </w:r>
      <w:r>
        <w:rPr>
          <w:sz w:val="24"/>
        </w:rPr>
        <w:t>PF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PJ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exercício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689" w:footer="261" w:top="1580" w:bottom="460" w:left="1300" w:right="680"/>
        </w:sectPr>
      </w:pPr>
    </w:p>
    <w:p>
      <w:pPr>
        <w:spacing w:line="360" w:lineRule="auto" w:before="14"/>
        <w:ind w:left="118" w:right="165" w:firstLine="0"/>
        <w:jc w:val="both"/>
        <w:rPr>
          <w:sz w:val="24"/>
        </w:rPr>
      </w:pPr>
      <w:r>
        <w:rPr>
          <w:sz w:val="24"/>
        </w:rPr>
        <w:t>e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exercícios</w:t>
      </w:r>
      <w:r>
        <w:rPr>
          <w:spacing w:val="30"/>
          <w:sz w:val="24"/>
        </w:rPr>
        <w:t> </w:t>
      </w:r>
      <w:r>
        <w:rPr>
          <w:sz w:val="24"/>
        </w:rPr>
        <w:t>anteriores,</w:t>
      </w:r>
      <w:r>
        <w:rPr>
          <w:spacing w:val="29"/>
          <w:sz w:val="24"/>
        </w:rPr>
        <w:t> </w:t>
      </w:r>
      <w:r>
        <w:rPr>
          <w:sz w:val="24"/>
        </w:rPr>
        <w:t>taxas</w:t>
      </w:r>
      <w:r>
        <w:rPr>
          <w:spacing w:val="26"/>
          <w:sz w:val="24"/>
        </w:rPr>
        <w:t> </w:t>
      </w:r>
      <w:r>
        <w:rPr>
          <w:sz w:val="24"/>
        </w:rPr>
        <w:t>e</w:t>
      </w:r>
      <w:r>
        <w:rPr>
          <w:spacing w:val="30"/>
          <w:sz w:val="24"/>
        </w:rPr>
        <w:t> </w:t>
      </w:r>
      <w:r>
        <w:rPr>
          <w:sz w:val="24"/>
        </w:rPr>
        <w:t>multas</w:t>
      </w:r>
      <w:r>
        <w:rPr>
          <w:spacing w:val="27"/>
          <w:sz w:val="24"/>
        </w:rPr>
        <w:t> </w:t>
      </w:r>
      <w:r>
        <w:rPr>
          <w:sz w:val="24"/>
        </w:rPr>
        <w:t>e</w:t>
      </w:r>
      <w:r>
        <w:rPr>
          <w:spacing w:val="27"/>
          <w:sz w:val="24"/>
        </w:rPr>
        <w:t> </w:t>
      </w:r>
      <w:r>
        <w:rPr>
          <w:sz w:val="24"/>
        </w:rPr>
        <w:t>RRT);</w:t>
      </w:r>
      <w:r>
        <w:rPr>
          <w:spacing w:val="32"/>
          <w:sz w:val="24"/>
        </w:rPr>
        <w:t> </w:t>
      </w:r>
      <w:r>
        <w:rPr>
          <w:b/>
          <w:sz w:val="24"/>
        </w:rPr>
        <w:t>25,9%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saldos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exercícios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anteriores</w:t>
      </w:r>
      <w:r>
        <w:rPr>
          <w:sz w:val="24"/>
        </w:rPr>
        <w:t>,</w:t>
      </w:r>
      <w:r>
        <w:rPr>
          <w:spacing w:val="27"/>
          <w:sz w:val="24"/>
        </w:rPr>
        <w:t> </w:t>
      </w:r>
      <w:r>
        <w:rPr>
          <w:sz w:val="24"/>
        </w:rPr>
        <w:t>ou R$</w:t>
      </w:r>
      <w:r>
        <w:rPr>
          <w:spacing w:val="-2"/>
          <w:sz w:val="24"/>
        </w:rPr>
        <w:t> </w:t>
      </w:r>
      <w:r>
        <w:rPr>
          <w:sz w:val="24"/>
        </w:rPr>
        <w:t>21,35</w:t>
      </w:r>
      <w:r>
        <w:rPr>
          <w:spacing w:val="-3"/>
          <w:sz w:val="24"/>
        </w:rPr>
        <w:t> </w:t>
      </w:r>
      <w:r>
        <w:rPr>
          <w:sz w:val="24"/>
        </w:rPr>
        <w:t>milhões;</w:t>
      </w:r>
      <w:r>
        <w:rPr>
          <w:spacing w:val="-1"/>
          <w:sz w:val="24"/>
        </w:rPr>
        <w:t> </w:t>
      </w:r>
      <w:r>
        <w:rPr>
          <w:b/>
          <w:sz w:val="24"/>
        </w:rPr>
        <w:t>17,1%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outras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receitas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R$ 14,10</w:t>
      </w:r>
      <w:r>
        <w:rPr>
          <w:spacing w:val="-1"/>
          <w:sz w:val="24"/>
        </w:rPr>
        <w:t> </w:t>
      </w:r>
      <w:r>
        <w:rPr>
          <w:sz w:val="24"/>
        </w:rPr>
        <w:t>milhões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b/>
          <w:sz w:val="24"/>
        </w:rPr>
        <w:t>6,1%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aplicações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financeiras</w:t>
      </w:r>
      <w:r>
        <w:rPr>
          <w:sz w:val="24"/>
        </w:rPr>
        <w:t>, ou R$ 5 milhões. A representação gráfica apresenta-se no Gráfico 2.</w:t>
      </w:r>
    </w:p>
    <w:p>
      <w:pPr>
        <w:pStyle w:val="BodyText"/>
      </w:pPr>
    </w:p>
    <w:p>
      <w:pPr>
        <w:pStyle w:val="BodyText"/>
      </w:pPr>
    </w:p>
    <w:p>
      <w:pPr>
        <w:spacing w:before="171" w:after="2"/>
        <w:ind w:left="4497" w:right="0" w:firstLine="0"/>
        <w:jc w:val="left"/>
        <w:rPr>
          <w:b/>
          <w:sz w:val="22"/>
        </w:rPr>
      </w:pPr>
      <w:r>
        <w:rPr>
          <w:b/>
          <w:sz w:val="22"/>
        </w:rPr>
        <w:t>Gráfico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Composição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Origem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CAU/BR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drawing>
          <wp:inline distT="0" distB="0" distL="0" distR="0">
            <wp:extent cx="5972483" cy="360016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483" cy="360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Heading3"/>
        <w:numPr>
          <w:ilvl w:val="1"/>
          <w:numId w:val="2"/>
        </w:numPr>
        <w:tabs>
          <w:tab w:pos="1391" w:val="left" w:leader="none"/>
        </w:tabs>
        <w:spacing w:line="240" w:lineRule="auto" w:before="191" w:after="0"/>
        <w:ind w:left="1390" w:right="0" w:hanging="421"/>
        <w:jc w:val="left"/>
      </w:pPr>
      <w:bookmarkStart w:name="_bookmark5" w:id="6"/>
      <w:bookmarkEnd w:id="6"/>
      <w:r>
        <w:rPr>
          <w:color w:val="602041"/>
        </w:rPr>
        <w:t>Do</w:t>
      </w:r>
      <w:r>
        <w:rPr>
          <w:color w:val="602041"/>
        </w:rPr>
        <w:t>s</w:t>
      </w:r>
      <w:r>
        <w:rPr>
          <w:color w:val="602041"/>
          <w:spacing w:val="-3"/>
        </w:rPr>
        <w:t> </w:t>
      </w:r>
      <w:r>
        <w:rPr>
          <w:color w:val="602041"/>
        </w:rPr>
        <w:t>Recursos</w:t>
      </w:r>
      <w:r>
        <w:rPr>
          <w:color w:val="602041"/>
          <w:spacing w:val="-2"/>
        </w:rPr>
        <w:t> </w:t>
      </w:r>
      <w:r>
        <w:rPr>
          <w:color w:val="602041"/>
        </w:rPr>
        <w:t>do</w:t>
      </w:r>
      <w:r>
        <w:rPr>
          <w:color w:val="602041"/>
          <w:spacing w:val="-4"/>
        </w:rPr>
        <w:t> </w:t>
      </w:r>
      <w:r>
        <w:rPr>
          <w:color w:val="602041"/>
          <w:spacing w:val="-2"/>
        </w:rPr>
        <w:t>CAU/UF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360" w:lineRule="auto"/>
        <w:ind w:left="118" w:right="165" w:firstLine="851"/>
        <w:jc w:val="both"/>
      </w:pPr>
      <w:r>
        <w:rPr/>
        <w:t>Os recursos destinados aos CAU/UF, para o desenvolvimento dos Planos de Ação contemplados nesta proposta de Reprogramação para o exercício de 2022, totalizam R$ 215,40 milhões. Comparativamente ao anteriormente aprovado para este exercício R$ 219,65 milhões, verifica-se uma variação positiva de 8,6%, ou um acréscimo de R$ 18,81 milhões no montante dos recursos inicialmente destinados ao desenvolvimento</w:t>
      </w:r>
      <w:r>
        <w:rPr>
          <w:spacing w:val="-1"/>
        </w:rPr>
        <w:t> </w:t>
      </w:r>
      <w:r>
        <w:rPr/>
        <w:t>das programações. Vale ressaltar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para a Programação 2022, o CAU/AM e CAU/SP, os valores considerados são da 1ª Reprogramação Extraordinária 2022 aprovadas.</w:t>
      </w:r>
    </w:p>
    <w:p>
      <w:pPr>
        <w:spacing w:line="360" w:lineRule="auto" w:before="160"/>
        <w:ind w:left="118" w:right="166" w:firstLine="851"/>
        <w:jc w:val="both"/>
        <w:rPr>
          <w:sz w:val="24"/>
        </w:rPr>
      </w:pP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b/>
          <w:sz w:val="24"/>
        </w:rPr>
        <w:t>Fontes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Recursos</w:t>
      </w:r>
      <w:r>
        <w:rPr>
          <w:b/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suportar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realização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ações</w:t>
      </w:r>
      <w:r>
        <w:rPr>
          <w:spacing w:val="-1"/>
          <w:sz w:val="24"/>
        </w:rPr>
        <w:t> </w:t>
      </w:r>
      <w:r>
        <w:rPr>
          <w:sz w:val="24"/>
        </w:rPr>
        <w:t>constantes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Plano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Ação reprogramado,</w:t>
      </w:r>
      <w:r>
        <w:rPr>
          <w:spacing w:val="40"/>
          <w:sz w:val="24"/>
        </w:rPr>
        <w:t> </w:t>
      </w:r>
      <w:r>
        <w:rPr>
          <w:sz w:val="24"/>
        </w:rPr>
        <w:t>representadas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b/>
          <w:sz w:val="24"/>
        </w:rPr>
        <w:t>720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iniciativas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estratégicas</w:t>
      </w:r>
      <w:r>
        <w:rPr>
          <w:sz w:val="24"/>
        </w:rPr>
        <w:t>,</w:t>
      </w:r>
      <w:r>
        <w:rPr>
          <w:spacing w:val="40"/>
          <w:sz w:val="24"/>
        </w:rPr>
        <w:t> </w:t>
      </w:r>
      <w:r>
        <w:rPr>
          <w:b/>
          <w:sz w:val="24"/>
        </w:rPr>
        <w:t>70,3%</w:t>
      </w:r>
      <w:r>
        <w:rPr>
          <w:b/>
          <w:spacing w:val="40"/>
          <w:sz w:val="24"/>
        </w:rPr>
        <w:t> </w:t>
      </w:r>
      <w:r>
        <w:rPr>
          <w:sz w:val="24"/>
        </w:rPr>
        <w:t>dos</w:t>
      </w:r>
      <w:r>
        <w:rPr>
          <w:spacing w:val="40"/>
          <w:sz w:val="24"/>
        </w:rPr>
        <w:t> </w:t>
      </w:r>
      <w:r>
        <w:rPr>
          <w:sz w:val="24"/>
        </w:rPr>
        <w:t>recursos</w:t>
      </w:r>
      <w:r>
        <w:rPr>
          <w:spacing w:val="40"/>
          <w:sz w:val="24"/>
        </w:rPr>
        <w:t> </w:t>
      </w:r>
      <w:r>
        <w:rPr>
          <w:sz w:val="24"/>
        </w:rPr>
        <w:t>totais,</w:t>
      </w:r>
      <w:r>
        <w:rPr>
          <w:spacing w:val="40"/>
          <w:sz w:val="24"/>
        </w:rPr>
        <w:t> </w:t>
      </w:r>
      <w:r>
        <w:rPr>
          <w:sz w:val="24"/>
        </w:rPr>
        <w:t>ou R$</w:t>
      </w:r>
      <w:r>
        <w:rPr>
          <w:spacing w:val="24"/>
          <w:sz w:val="24"/>
        </w:rPr>
        <w:t> </w:t>
      </w:r>
      <w:r>
        <w:rPr>
          <w:sz w:val="24"/>
        </w:rPr>
        <w:t>167,73</w:t>
      </w:r>
      <w:r>
        <w:rPr>
          <w:spacing w:val="22"/>
          <w:sz w:val="24"/>
        </w:rPr>
        <w:t> </w:t>
      </w:r>
      <w:r>
        <w:rPr>
          <w:sz w:val="24"/>
        </w:rPr>
        <w:t>milhões,</w:t>
      </w:r>
      <w:r>
        <w:rPr>
          <w:spacing w:val="21"/>
          <w:sz w:val="24"/>
        </w:rPr>
        <w:t> </w:t>
      </w:r>
      <w:r>
        <w:rPr>
          <w:sz w:val="24"/>
        </w:rPr>
        <w:t>advêm</w:t>
      </w:r>
      <w:r>
        <w:rPr>
          <w:spacing w:val="24"/>
          <w:sz w:val="24"/>
        </w:rPr>
        <w:t> </w:t>
      </w:r>
      <w:r>
        <w:rPr>
          <w:sz w:val="24"/>
        </w:rPr>
        <w:t>das</w:t>
      </w:r>
      <w:r>
        <w:rPr>
          <w:spacing w:val="24"/>
          <w:sz w:val="24"/>
        </w:rPr>
        <w:t> </w:t>
      </w:r>
      <w:r>
        <w:rPr>
          <w:b/>
          <w:sz w:val="24"/>
        </w:rPr>
        <w:t>receitas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arrecadação</w:t>
      </w:r>
      <w:r>
        <w:rPr>
          <w:b/>
          <w:spacing w:val="25"/>
          <w:sz w:val="24"/>
        </w:rPr>
        <w:t> </w:t>
      </w:r>
      <w:r>
        <w:rPr>
          <w:sz w:val="24"/>
        </w:rPr>
        <w:t>(anuidades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PF</w:t>
      </w:r>
      <w:r>
        <w:rPr>
          <w:spacing w:val="24"/>
          <w:sz w:val="24"/>
        </w:rPr>
        <w:t> </w:t>
      </w:r>
      <w:r>
        <w:rPr>
          <w:sz w:val="24"/>
        </w:rPr>
        <w:t>e</w:t>
      </w:r>
      <w:r>
        <w:rPr>
          <w:spacing w:val="22"/>
          <w:sz w:val="24"/>
        </w:rPr>
        <w:t> </w:t>
      </w:r>
      <w:r>
        <w:rPr>
          <w:sz w:val="24"/>
        </w:rPr>
        <w:t>PJ</w:t>
      </w:r>
      <w:r>
        <w:rPr>
          <w:spacing w:val="24"/>
          <w:sz w:val="24"/>
        </w:rPr>
        <w:t> </w:t>
      </w:r>
      <w:r>
        <w:rPr>
          <w:sz w:val="24"/>
        </w:rPr>
        <w:t>do</w:t>
      </w:r>
      <w:r>
        <w:rPr>
          <w:spacing w:val="22"/>
          <w:sz w:val="24"/>
        </w:rPr>
        <w:t> </w:t>
      </w:r>
      <w:r>
        <w:rPr>
          <w:sz w:val="24"/>
        </w:rPr>
        <w:t>exercício</w:t>
      </w:r>
      <w:r>
        <w:rPr>
          <w:spacing w:val="24"/>
          <w:sz w:val="24"/>
        </w:rPr>
        <w:t> </w:t>
      </w:r>
      <w:r>
        <w:rPr>
          <w:sz w:val="24"/>
        </w:rPr>
        <w:t>e</w:t>
      </w:r>
      <w:r>
        <w:rPr>
          <w:spacing w:val="19"/>
          <w:sz w:val="24"/>
        </w:rPr>
        <w:t> </w:t>
      </w:r>
      <w:r>
        <w:rPr>
          <w:sz w:val="24"/>
        </w:rPr>
        <w:t>de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689" w:footer="261" w:top="1580" w:bottom="460" w:left="1300" w:right="680"/>
        </w:sectPr>
      </w:pPr>
    </w:p>
    <w:p>
      <w:pPr>
        <w:spacing w:line="360" w:lineRule="auto" w:before="14"/>
        <w:ind w:left="118" w:right="166" w:firstLine="0"/>
        <w:jc w:val="both"/>
        <w:rPr>
          <w:sz w:val="24"/>
        </w:rPr>
      </w:pPr>
      <w:r>
        <w:rPr>
          <w:sz w:val="24"/>
        </w:rPr>
        <w:t>exercícios anteriores, taxas e multas</w:t>
      </w:r>
      <w:r>
        <w:rPr>
          <w:spacing w:val="-2"/>
          <w:sz w:val="24"/>
        </w:rPr>
        <w:t> </w:t>
      </w:r>
      <w:r>
        <w:rPr>
          <w:sz w:val="24"/>
        </w:rPr>
        <w:t>e RRT); </w:t>
      </w:r>
      <w:r>
        <w:rPr>
          <w:b/>
          <w:sz w:val="24"/>
        </w:rPr>
        <w:t>22,3%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b/>
          <w:sz w:val="24"/>
        </w:rPr>
        <w:t>saldos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exercícios anteriores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ou R$</w:t>
      </w:r>
      <w:r>
        <w:rPr>
          <w:spacing w:val="-1"/>
          <w:sz w:val="24"/>
        </w:rPr>
        <w:t> </w:t>
      </w:r>
      <w:r>
        <w:rPr>
          <w:sz w:val="24"/>
        </w:rPr>
        <w:t>53,07 milhões;</w:t>
      </w:r>
      <w:r>
        <w:rPr>
          <w:spacing w:val="-1"/>
          <w:sz w:val="24"/>
        </w:rPr>
        <w:t> </w:t>
      </w:r>
      <w:r>
        <w:rPr>
          <w:sz w:val="24"/>
        </w:rPr>
        <w:t>1,4</w:t>
      </w:r>
      <w:r>
        <w:rPr>
          <w:b/>
          <w:sz w:val="24"/>
        </w:rPr>
        <w:t>%</w:t>
      </w:r>
      <w:r>
        <w:rPr>
          <w:b/>
          <w:spacing w:val="-1"/>
          <w:sz w:val="24"/>
        </w:rPr>
        <w:t> </w:t>
      </w:r>
      <w:r>
        <w:rPr>
          <w:sz w:val="24"/>
        </w:rPr>
        <w:t>do </w:t>
      </w:r>
      <w:r>
        <w:rPr>
          <w:b/>
          <w:sz w:val="24"/>
        </w:rPr>
        <w:t>Fundo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 Apoio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Financeiro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CAU/UF</w:t>
      </w:r>
      <w:r>
        <w:rPr>
          <w:sz w:val="24"/>
        </w:rPr>
        <w:t>, ou R$ 3,33</w:t>
      </w:r>
      <w:r>
        <w:rPr>
          <w:spacing w:val="-1"/>
          <w:sz w:val="24"/>
        </w:rPr>
        <w:t> </w:t>
      </w:r>
      <w:r>
        <w:rPr>
          <w:sz w:val="24"/>
        </w:rPr>
        <w:t>milhões; </w:t>
      </w:r>
      <w:r>
        <w:rPr>
          <w:b/>
          <w:sz w:val="24"/>
        </w:rPr>
        <w:t>5,3%</w:t>
      </w:r>
      <w:r>
        <w:rPr>
          <w:b/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b/>
          <w:sz w:val="24"/>
        </w:rPr>
        <w:t>aplicações financeiras</w:t>
      </w:r>
      <w:r>
        <w:rPr>
          <w:sz w:val="24"/>
        </w:rPr>
        <w:t>, ou R$ 12,67 milhões; e </w:t>
      </w:r>
      <w:r>
        <w:rPr>
          <w:b/>
          <w:sz w:val="24"/>
        </w:rPr>
        <w:t>0,7% </w:t>
      </w:r>
      <w:r>
        <w:rPr>
          <w:sz w:val="24"/>
        </w:rPr>
        <w:t>de </w:t>
      </w:r>
      <w:r>
        <w:rPr>
          <w:b/>
          <w:sz w:val="24"/>
        </w:rPr>
        <w:t>outras receitas</w:t>
      </w:r>
      <w:r>
        <w:rPr>
          <w:sz w:val="24"/>
        </w:rPr>
        <w:t>, ou R$ 1,66 milhão. A composição e a representação</w:t>
      </w:r>
      <w:r>
        <w:rPr>
          <w:spacing w:val="-11"/>
          <w:sz w:val="24"/>
        </w:rPr>
        <w:t> </w:t>
      </w:r>
      <w:r>
        <w:rPr>
          <w:sz w:val="24"/>
        </w:rPr>
        <w:t>gráfica</w:t>
      </w:r>
      <w:r>
        <w:rPr>
          <w:spacing w:val="-7"/>
          <w:sz w:val="24"/>
        </w:rPr>
        <w:t> </w:t>
      </w:r>
      <w:r>
        <w:rPr>
          <w:sz w:val="24"/>
        </w:rPr>
        <w:t>apresentam-se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Gráfico</w:t>
      </w:r>
      <w:r>
        <w:rPr>
          <w:spacing w:val="-9"/>
          <w:sz w:val="24"/>
        </w:rPr>
        <w:t> </w:t>
      </w:r>
      <w:r>
        <w:rPr>
          <w:sz w:val="24"/>
        </w:rPr>
        <w:t>3.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detalhamento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CAU/UF</w:t>
      </w:r>
      <w:r>
        <w:rPr>
          <w:spacing w:val="-8"/>
          <w:sz w:val="24"/>
        </w:rPr>
        <w:t> </w:t>
      </w:r>
      <w:r>
        <w:rPr>
          <w:sz w:val="24"/>
        </w:rPr>
        <w:t>consta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Anexo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2.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4127" w:right="0" w:firstLine="0"/>
        <w:jc w:val="left"/>
        <w:rPr>
          <w:b/>
          <w:sz w:val="22"/>
        </w:rPr>
      </w:pPr>
      <w:bookmarkStart w:name="_bookmark6" w:id="7"/>
      <w:bookmarkEnd w:id="7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2.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CAU/UF</w:t>
      </w:r>
    </w:p>
    <w:p>
      <w:pPr>
        <w:pStyle w:val="BodyText"/>
        <w:ind w:left="329"/>
        <w:rPr>
          <w:sz w:val="20"/>
        </w:rPr>
      </w:pPr>
      <w:r>
        <w:rPr>
          <w:sz w:val="20"/>
        </w:rPr>
        <w:drawing>
          <wp:inline distT="0" distB="0" distL="0" distR="0">
            <wp:extent cx="5980279" cy="3630167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79" cy="36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360" w:lineRule="auto"/>
        <w:ind w:left="118" w:right="166" w:firstLine="851"/>
        <w:jc w:val="both"/>
      </w:pPr>
      <w:r>
        <w:rPr/>
        <w:t>Nos planos de ação reprogramados para 2022, os recursos oriundos do Fundo de Apoio destinados à complementação das fontes de receitas necessárias à plena operação dos CAU/UF, enquadrados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CAU</w:t>
      </w:r>
      <w:r>
        <w:rPr>
          <w:spacing w:val="-4"/>
        </w:rPr>
        <w:t> </w:t>
      </w:r>
      <w:r>
        <w:rPr/>
        <w:t>Básico,</w:t>
      </w:r>
      <w:r>
        <w:rPr>
          <w:spacing w:val="-3"/>
        </w:rPr>
        <w:t> </w:t>
      </w:r>
      <w:r>
        <w:rPr/>
        <w:t>são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ordem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>
          <w:b/>
        </w:rPr>
        <w:t>R$</w:t>
      </w:r>
      <w:r>
        <w:rPr>
          <w:b/>
          <w:spacing w:val="-3"/>
        </w:rPr>
        <w:t> </w:t>
      </w:r>
      <w:r>
        <w:rPr>
          <w:b/>
        </w:rPr>
        <w:t>3,33</w:t>
      </w:r>
      <w:r>
        <w:rPr>
          <w:b/>
          <w:spacing w:val="-3"/>
        </w:rPr>
        <w:t> </w:t>
      </w:r>
      <w:r>
        <w:rPr>
          <w:b/>
        </w:rPr>
        <w:t>milhões</w:t>
      </w:r>
      <w:r>
        <w:rPr/>
        <w:t>,</w:t>
      </w:r>
      <w:r>
        <w:rPr>
          <w:spacing w:val="-4"/>
        </w:rPr>
        <w:t> </w:t>
      </w:r>
      <w:r>
        <w:rPr/>
        <w:t>representando</w:t>
      </w:r>
      <w:r>
        <w:rPr>
          <w:spacing w:val="-4"/>
        </w:rPr>
        <w:t> </w:t>
      </w:r>
      <w:r>
        <w:rPr/>
        <w:t>18%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dos recursos envolvidos na execução de seus Planos de Ação. A composição e demonstrativo dos recursos do Fundo de Apoio direcionados aos CAU Básico apresenta-se no Quadro 1.</w:t>
      </w:r>
    </w:p>
    <w:p>
      <w:pPr>
        <w:spacing w:after="0" w:line="360" w:lineRule="auto"/>
        <w:jc w:val="both"/>
        <w:sectPr>
          <w:pgSz w:w="11910" w:h="16840"/>
          <w:pgMar w:header="689" w:footer="261" w:top="1580" w:bottom="460" w:left="1300" w:right="680"/>
        </w:sectPr>
      </w:pPr>
    </w:p>
    <w:p>
      <w:pPr>
        <w:spacing w:before="13"/>
        <w:ind w:left="0" w:right="171" w:firstLine="0"/>
        <w:jc w:val="right"/>
        <w:rPr>
          <w:b/>
          <w:sz w:val="22"/>
        </w:rPr>
      </w:pPr>
      <w:bookmarkStart w:name="_bookmark7" w:id="8"/>
      <w:bookmarkEnd w:id="8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Disponibilizações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Utilizações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Fundo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Apoio</w:t>
      </w:r>
    </w:p>
    <w:p>
      <w:pPr>
        <w:spacing w:before="1"/>
        <w:ind w:left="0" w:right="168" w:firstLine="0"/>
        <w:jc w:val="right"/>
        <w:rPr>
          <w:sz w:val="20"/>
        </w:rPr>
      </w:pPr>
      <w:r>
        <w:rPr>
          <w:sz w:val="20"/>
        </w:rPr>
        <w:t>(Valores</w:t>
      </w:r>
      <w:r>
        <w:rPr>
          <w:spacing w:val="-7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R$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1,00)</w:t>
      </w:r>
    </w:p>
    <w:tbl>
      <w:tblPr>
        <w:tblW w:w="0" w:type="auto"/>
        <w:jc w:val="left"/>
        <w:tblInd w:w="1325" w:type="dxa"/>
        <w:tblBorders>
          <w:top w:val="single" w:sz="4" w:space="0" w:color="EBC5D9"/>
          <w:left w:val="single" w:sz="4" w:space="0" w:color="EBC5D9"/>
          <w:bottom w:val="single" w:sz="4" w:space="0" w:color="EBC5D9"/>
          <w:right w:val="single" w:sz="4" w:space="0" w:color="EBC5D9"/>
          <w:insideH w:val="single" w:sz="4" w:space="0" w:color="EBC5D9"/>
          <w:insideV w:val="single" w:sz="4" w:space="0" w:color="EBC5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"/>
        <w:gridCol w:w="591"/>
        <w:gridCol w:w="1175"/>
        <w:gridCol w:w="1175"/>
        <w:gridCol w:w="1175"/>
        <w:gridCol w:w="1175"/>
        <w:gridCol w:w="1175"/>
        <w:gridCol w:w="1179"/>
      </w:tblGrid>
      <w:tr>
        <w:trPr>
          <w:trHeight w:val="546" w:hRule="atLeast"/>
        </w:trPr>
        <w:tc>
          <w:tcPr>
            <w:tcW w:w="791" w:type="dxa"/>
            <w:vMerge w:val="restart"/>
            <w:tcBorders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24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Regiões</w:t>
            </w:r>
          </w:p>
        </w:tc>
        <w:tc>
          <w:tcPr>
            <w:tcW w:w="591" w:type="dxa"/>
            <w:vMerge w:val="restart"/>
            <w:tcBorders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24"/>
              <w:ind w:left="194" w:right="188"/>
              <w:jc w:val="center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UF</w:t>
            </w:r>
          </w:p>
        </w:tc>
        <w:tc>
          <w:tcPr>
            <w:tcW w:w="3525" w:type="dxa"/>
            <w:gridSpan w:val="3"/>
            <w:tcBorders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line="276" w:lineRule="auto" w:before="86"/>
              <w:ind w:left="1360" w:right="1352"/>
              <w:jc w:val="center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Programação</w:t>
            </w:r>
            <w:r>
              <w:rPr>
                <w:b/>
                <w:color w:val="EBC5D9"/>
                <w:spacing w:val="40"/>
                <w:w w:val="105"/>
                <w:sz w:val="14"/>
              </w:rPr>
              <w:t> </w:t>
            </w:r>
            <w:r>
              <w:rPr>
                <w:b/>
                <w:color w:val="EBC5D9"/>
                <w:spacing w:val="-4"/>
                <w:w w:val="105"/>
                <w:sz w:val="14"/>
              </w:rPr>
              <w:t>2022</w:t>
            </w:r>
          </w:p>
        </w:tc>
        <w:tc>
          <w:tcPr>
            <w:tcW w:w="3529" w:type="dxa"/>
            <w:gridSpan w:val="3"/>
            <w:tcBorders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602041"/>
          </w:tcPr>
          <w:p>
            <w:pPr>
              <w:pStyle w:val="TableParagraph"/>
              <w:spacing w:line="276" w:lineRule="auto" w:before="86"/>
              <w:ind w:left="1280" w:right="1276"/>
              <w:jc w:val="center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Reprogramação</w:t>
            </w:r>
            <w:r>
              <w:rPr>
                <w:b/>
                <w:color w:val="EBC5D9"/>
                <w:spacing w:val="40"/>
                <w:w w:val="105"/>
                <w:sz w:val="14"/>
              </w:rPr>
              <w:t> </w:t>
            </w:r>
            <w:r>
              <w:rPr>
                <w:b/>
                <w:color w:val="EBC5D9"/>
                <w:spacing w:val="-4"/>
                <w:w w:val="105"/>
                <w:sz w:val="14"/>
              </w:rPr>
              <w:t>2022</w:t>
            </w:r>
          </w:p>
        </w:tc>
      </w:tr>
      <w:tr>
        <w:trPr>
          <w:trHeight w:val="547" w:hRule="atLeast"/>
        </w:trPr>
        <w:tc>
          <w:tcPr>
            <w:tcW w:w="791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vMerge/>
            <w:tcBorders>
              <w:top w:val="nil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line="276" w:lineRule="auto" w:before="87"/>
              <w:ind w:left="185" w:right="167" w:firstLine="238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Valor</w:t>
            </w:r>
            <w:r>
              <w:rPr>
                <w:b/>
                <w:color w:val="EBC5D9"/>
                <w:spacing w:val="40"/>
                <w:w w:val="105"/>
                <w:sz w:val="14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4"/>
              </w:rPr>
              <w:t>Programação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line="276" w:lineRule="auto" w:before="87"/>
              <w:ind w:left="100" w:right="92" w:firstLine="232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w w:val="105"/>
                <w:sz w:val="14"/>
              </w:rPr>
              <w:t>Valor</w:t>
            </w:r>
            <w:r>
              <w:rPr>
                <w:b/>
                <w:color w:val="EBC5D9"/>
                <w:spacing w:val="-9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do</w:t>
            </w:r>
            <w:r>
              <w:rPr>
                <w:b/>
                <w:color w:val="EBC5D9"/>
                <w:spacing w:val="40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Fundo</w:t>
            </w:r>
            <w:r>
              <w:rPr>
                <w:b/>
                <w:color w:val="EBC5D9"/>
                <w:spacing w:val="-9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de</w:t>
            </w:r>
            <w:r>
              <w:rPr>
                <w:b/>
                <w:color w:val="EBC5D9"/>
                <w:spacing w:val="-8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Apoio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line="276" w:lineRule="auto" w:before="87"/>
              <w:ind w:left="100" w:right="92" w:firstLine="288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Part.%</w:t>
            </w:r>
            <w:r>
              <w:rPr>
                <w:b/>
                <w:color w:val="EBC5D9"/>
                <w:spacing w:val="40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Fundo</w:t>
            </w:r>
            <w:r>
              <w:rPr>
                <w:b/>
                <w:color w:val="EBC5D9"/>
                <w:spacing w:val="-9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de</w:t>
            </w:r>
            <w:r>
              <w:rPr>
                <w:b/>
                <w:color w:val="EBC5D9"/>
                <w:spacing w:val="-8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Apoio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line="276" w:lineRule="auto" w:before="87"/>
              <w:ind w:left="183" w:right="169" w:firstLine="239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Valor</w:t>
            </w:r>
            <w:r>
              <w:rPr>
                <w:b/>
                <w:color w:val="EBC5D9"/>
                <w:spacing w:val="40"/>
                <w:w w:val="105"/>
                <w:sz w:val="14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4"/>
              </w:rPr>
              <w:t>Programação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line="276" w:lineRule="auto" w:before="87"/>
              <w:ind w:left="98" w:right="94" w:firstLine="232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w w:val="105"/>
                <w:sz w:val="14"/>
              </w:rPr>
              <w:t>Valor</w:t>
            </w:r>
            <w:r>
              <w:rPr>
                <w:b/>
                <w:color w:val="EBC5D9"/>
                <w:spacing w:val="-9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do</w:t>
            </w:r>
            <w:r>
              <w:rPr>
                <w:b/>
                <w:color w:val="EBC5D9"/>
                <w:spacing w:val="40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Fundo</w:t>
            </w:r>
            <w:r>
              <w:rPr>
                <w:b/>
                <w:color w:val="EBC5D9"/>
                <w:spacing w:val="-9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de</w:t>
            </w:r>
            <w:r>
              <w:rPr>
                <w:b/>
                <w:color w:val="EBC5D9"/>
                <w:spacing w:val="-8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Apoio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602041"/>
          </w:tcPr>
          <w:p>
            <w:pPr>
              <w:pStyle w:val="TableParagraph"/>
              <w:spacing w:line="276" w:lineRule="auto" w:before="87"/>
              <w:ind w:left="98" w:right="100" w:firstLine="288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Part.%</w:t>
            </w:r>
            <w:r>
              <w:rPr>
                <w:b/>
                <w:color w:val="EBC5D9"/>
                <w:spacing w:val="40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Fundo</w:t>
            </w:r>
            <w:r>
              <w:rPr>
                <w:b/>
                <w:color w:val="EBC5D9"/>
                <w:spacing w:val="-9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de</w:t>
            </w:r>
            <w:r>
              <w:rPr>
                <w:b/>
                <w:color w:val="EBC5D9"/>
                <w:spacing w:val="-8"/>
                <w:w w:val="105"/>
                <w:sz w:val="14"/>
              </w:rPr>
              <w:t> </w:t>
            </w:r>
            <w:r>
              <w:rPr>
                <w:b/>
                <w:color w:val="EBC5D9"/>
                <w:w w:val="105"/>
                <w:sz w:val="14"/>
              </w:rPr>
              <w:t>Apoio</w:t>
            </w:r>
          </w:p>
        </w:tc>
      </w:tr>
      <w:tr>
        <w:trPr>
          <w:trHeight w:val="266" w:hRule="atLeast"/>
        </w:trPr>
        <w:tc>
          <w:tcPr>
            <w:tcW w:w="791" w:type="dxa"/>
            <w:vMerge w:val="restart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184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NORTE</w:t>
            </w: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207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AC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1.303.157,20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6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754.537,40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3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57,9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1.365.940,11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728.722,03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53,3</w:t>
            </w:r>
          </w:p>
        </w:tc>
      </w:tr>
      <w:tr>
        <w:trPr>
          <w:trHeight w:val="266" w:hRule="atLeast"/>
        </w:trPr>
        <w:tc>
          <w:tcPr>
            <w:tcW w:w="791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AM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1.661.713,59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140"/>
              <w:rPr>
                <w:b/>
                <w:sz w:val="14"/>
              </w:rPr>
            </w:pPr>
            <w:r>
              <w:rPr>
                <w:b/>
                <w:color w:val="602041"/>
                <w:w w:val="105"/>
                <w:sz w:val="14"/>
              </w:rPr>
              <w:t>-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2"/>
              <w:rPr>
                <w:b/>
                <w:sz w:val="14"/>
              </w:rPr>
            </w:pPr>
            <w:r>
              <w:rPr>
                <w:b/>
                <w:color w:val="602041"/>
                <w:spacing w:val="-5"/>
                <w:w w:val="105"/>
                <w:sz w:val="14"/>
              </w:rPr>
              <w:t>0,0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1.820.556,19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142"/>
              <w:rPr>
                <w:b/>
                <w:sz w:val="14"/>
              </w:rPr>
            </w:pPr>
            <w:r>
              <w:rPr>
                <w:b/>
                <w:color w:val="602041"/>
                <w:w w:val="105"/>
                <w:sz w:val="14"/>
              </w:rPr>
              <w:t>-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5"/>
                <w:w w:val="105"/>
                <w:sz w:val="14"/>
              </w:rPr>
              <w:t>0,0</w:t>
            </w:r>
          </w:p>
        </w:tc>
      </w:tr>
      <w:tr>
        <w:trPr>
          <w:trHeight w:val="266" w:hRule="atLeast"/>
        </w:trPr>
        <w:tc>
          <w:tcPr>
            <w:tcW w:w="791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207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7"/>
                <w:w w:val="105"/>
                <w:sz w:val="14"/>
              </w:rPr>
              <w:t>AP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2.170.000,00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6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629.725,45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3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29,0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2.200.000,00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643.104,38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29,2</w:t>
            </w:r>
          </w:p>
        </w:tc>
      </w:tr>
      <w:tr>
        <w:trPr>
          <w:trHeight w:val="266" w:hRule="atLeast"/>
        </w:trPr>
        <w:tc>
          <w:tcPr>
            <w:tcW w:w="791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200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RO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2.069.029,79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140"/>
              <w:rPr>
                <w:b/>
                <w:sz w:val="14"/>
              </w:rPr>
            </w:pPr>
            <w:r>
              <w:rPr>
                <w:b/>
                <w:color w:val="602041"/>
                <w:w w:val="105"/>
                <w:sz w:val="14"/>
              </w:rPr>
              <w:t>-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2"/>
              <w:rPr>
                <w:b/>
                <w:sz w:val="14"/>
              </w:rPr>
            </w:pPr>
            <w:r>
              <w:rPr>
                <w:b/>
                <w:color w:val="602041"/>
                <w:spacing w:val="-5"/>
                <w:w w:val="105"/>
                <w:sz w:val="14"/>
              </w:rPr>
              <w:t>0,0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2.202.733,17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142"/>
              <w:rPr>
                <w:b/>
                <w:sz w:val="14"/>
              </w:rPr>
            </w:pPr>
            <w:r>
              <w:rPr>
                <w:b/>
                <w:color w:val="602041"/>
                <w:w w:val="105"/>
                <w:sz w:val="14"/>
              </w:rPr>
              <w:t>-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5"/>
                <w:w w:val="105"/>
                <w:sz w:val="14"/>
              </w:rPr>
              <w:t>0,0</w:t>
            </w:r>
          </w:p>
        </w:tc>
      </w:tr>
      <w:tr>
        <w:trPr>
          <w:trHeight w:val="266" w:hRule="atLeast"/>
        </w:trPr>
        <w:tc>
          <w:tcPr>
            <w:tcW w:w="791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207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RR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1.334.470,53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1.027.072,34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3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77,0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1.308.861,45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9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1.010.840,73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77,2</w:t>
            </w:r>
          </w:p>
        </w:tc>
      </w:tr>
      <w:tr>
        <w:trPr>
          <w:trHeight w:val="266" w:hRule="atLeast"/>
        </w:trPr>
        <w:tc>
          <w:tcPr>
            <w:tcW w:w="791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207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TO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2.250.000,01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6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435.878,43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3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19,4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2.320.267,67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411.563,82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17,7</w:t>
            </w:r>
          </w:p>
        </w:tc>
      </w:tr>
      <w:tr>
        <w:trPr>
          <w:trHeight w:val="266" w:hRule="atLeast"/>
        </w:trPr>
        <w:tc>
          <w:tcPr>
            <w:tcW w:w="1382" w:type="dxa"/>
            <w:gridSpan w:val="2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45"/>
              <w:ind w:left="381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w w:val="105"/>
                <w:sz w:val="14"/>
              </w:rPr>
              <w:t>SOMA</w:t>
            </w:r>
            <w:r>
              <w:rPr>
                <w:b/>
                <w:color w:val="EBC5D9"/>
                <w:spacing w:val="-2"/>
                <w:w w:val="105"/>
                <w:sz w:val="14"/>
              </w:rPr>
              <w:t> </w:t>
            </w:r>
            <w:r>
              <w:rPr>
                <w:b/>
                <w:color w:val="EBC5D9"/>
                <w:spacing w:val="-5"/>
                <w:w w:val="105"/>
                <w:sz w:val="14"/>
              </w:rPr>
              <w:t>(N)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0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10.788.371,11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2.847.213,62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13"/>
              <w:rPr>
                <w:b/>
                <w:sz w:val="14"/>
              </w:rPr>
            </w:pPr>
            <w:r>
              <w:rPr>
                <w:b/>
                <w:color w:val="EBC5D9"/>
                <w:spacing w:val="-4"/>
                <w:w w:val="105"/>
                <w:sz w:val="14"/>
              </w:rPr>
              <w:t>26,4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2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11.218.358,59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9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2.794.230,96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602041"/>
          </w:tcPr>
          <w:p>
            <w:pPr>
              <w:pStyle w:val="TableParagraph"/>
              <w:spacing w:before="52"/>
              <w:ind w:right="71"/>
              <w:rPr>
                <w:b/>
                <w:sz w:val="14"/>
              </w:rPr>
            </w:pPr>
            <w:r>
              <w:rPr>
                <w:b/>
                <w:color w:val="EBC5D9"/>
                <w:spacing w:val="-4"/>
                <w:w w:val="105"/>
                <w:sz w:val="14"/>
              </w:rPr>
              <w:t>24,9</w:t>
            </w:r>
          </w:p>
        </w:tc>
      </w:tr>
      <w:tr>
        <w:trPr>
          <w:trHeight w:val="266" w:hRule="atLeast"/>
        </w:trPr>
        <w:tc>
          <w:tcPr>
            <w:tcW w:w="791" w:type="dxa"/>
            <w:vMerge w:val="restart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25"/>
              <w:ind w:left="65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NORDESTE</w:t>
            </w: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214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AL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1.615.759,94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140"/>
              <w:rPr>
                <w:b/>
                <w:sz w:val="14"/>
              </w:rPr>
            </w:pPr>
            <w:r>
              <w:rPr>
                <w:b/>
                <w:color w:val="602041"/>
                <w:w w:val="105"/>
                <w:sz w:val="14"/>
              </w:rPr>
              <w:t>-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2"/>
              <w:rPr>
                <w:b/>
                <w:sz w:val="14"/>
              </w:rPr>
            </w:pPr>
            <w:r>
              <w:rPr>
                <w:b/>
                <w:color w:val="602041"/>
                <w:spacing w:val="-5"/>
                <w:w w:val="105"/>
                <w:sz w:val="14"/>
              </w:rPr>
              <w:t>0,0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1.742.033,98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142"/>
              <w:rPr>
                <w:b/>
                <w:sz w:val="14"/>
              </w:rPr>
            </w:pPr>
            <w:r>
              <w:rPr>
                <w:b/>
                <w:color w:val="602041"/>
                <w:w w:val="105"/>
                <w:sz w:val="14"/>
              </w:rPr>
              <w:t>-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5"/>
                <w:w w:val="105"/>
                <w:sz w:val="14"/>
              </w:rPr>
              <w:t>0,0</w:t>
            </w:r>
          </w:p>
        </w:tc>
      </w:tr>
      <w:tr>
        <w:trPr>
          <w:trHeight w:val="266" w:hRule="atLeast"/>
        </w:trPr>
        <w:tc>
          <w:tcPr>
            <w:tcW w:w="791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MA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1.416.460,57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6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124.511,20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2"/>
              <w:rPr>
                <w:b/>
                <w:sz w:val="14"/>
              </w:rPr>
            </w:pPr>
            <w:r>
              <w:rPr>
                <w:b/>
                <w:color w:val="602041"/>
                <w:spacing w:val="-5"/>
                <w:w w:val="105"/>
                <w:sz w:val="14"/>
              </w:rPr>
              <w:t>8,8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1.653.642,98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117.744,25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5"/>
                <w:w w:val="105"/>
                <w:sz w:val="14"/>
              </w:rPr>
              <w:t>7,1</w:t>
            </w:r>
          </w:p>
        </w:tc>
      </w:tr>
      <w:tr>
        <w:trPr>
          <w:trHeight w:val="266" w:hRule="atLeast"/>
        </w:trPr>
        <w:tc>
          <w:tcPr>
            <w:tcW w:w="791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235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PI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1.761.859,63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6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323.635,38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3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18,4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1.574.836,51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271.109,88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17,2</w:t>
            </w:r>
          </w:p>
        </w:tc>
      </w:tr>
      <w:tr>
        <w:trPr>
          <w:trHeight w:val="266" w:hRule="atLeast"/>
        </w:trPr>
        <w:tc>
          <w:tcPr>
            <w:tcW w:w="791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left="221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SE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1.543.712,46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6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172.875,39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spacing w:before="52"/>
              <w:ind w:right="13"/>
              <w:rPr>
                <w:b/>
                <w:sz w:val="14"/>
              </w:rPr>
            </w:pPr>
            <w:r>
              <w:rPr>
                <w:b/>
                <w:color w:val="602041"/>
                <w:spacing w:val="-4"/>
                <w:w w:val="105"/>
                <w:sz w:val="14"/>
              </w:rPr>
              <w:t>11,2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2.347.269,83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52"/>
              <w:ind w:right="58"/>
              <w:rPr>
                <w:b/>
                <w:sz w:val="14"/>
              </w:rPr>
            </w:pPr>
            <w:r>
              <w:rPr>
                <w:b/>
                <w:color w:val="602041"/>
                <w:spacing w:val="-2"/>
                <w:w w:val="105"/>
                <w:sz w:val="14"/>
              </w:rPr>
              <w:t>150.200,19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F9D1E3"/>
          </w:tcPr>
          <w:p>
            <w:pPr>
              <w:pStyle w:val="TableParagraph"/>
              <w:spacing w:before="52"/>
              <w:ind w:right="21"/>
              <w:rPr>
                <w:b/>
                <w:sz w:val="14"/>
              </w:rPr>
            </w:pPr>
            <w:r>
              <w:rPr>
                <w:b/>
                <w:color w:val="602041"/>
                <w:spacing w:val="-5"/>
                <w:w w:val="105"/>
                <w:sz w:val="14"/>
              </w:rPr>
              <w:t>6,4</w:t>
            </w:r>
          </w:p>
        </w:tc>
      </w:tr>
      <w:tr>
        <w:trPr>
          <w:trHeight w:val="266" w:hRule="atLeast"/>
        </w:trPr>
        <w:tc>
          <w:tcPr>
            <w:tcW w:w="1382" w:type="dxa"/>
            <w:gridSpan w:val="2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45"/>
              <w:ind w:left="346"/>
              <w:jc w:val="left"/>
              <w:rPr>
                <w:b/>
                <w:sz w:val="14"/>
              </w:rPr>
            </w:pPr>
            <w:r>
              <w:rPr>
                <w:b/>
                <w:color w:val="EBC5D9"/>
                <w:w w:val="105"/>
                <w:sz w:val="14"/>
              </w:rPr>
              <w:t>SOMA</w:t>
            </w:r>
            <w:r>
              <w:rPr>
                <w:b/>
                <w:color w:val="EBC5D9"/>
                <w:spacing w:val="-2"/>
                <w:w w:val="105"/>
                <w:sz w:val="14"/>
              </w:rPr>
              <w:t> </w:t>
            </w:r>
            <w:r>
              <w:rPr>
                <w:b/>
                <w:color w:val="EBC5D9"/>
                <w:spacing w:val="-4"/>
                <w:w w:val="105"/>
                <w:sz w:val="14"/>
              </w:rPr>
              <w:t>(NE)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6.337.792,60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56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621.021,97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12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9,8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7.317.783,30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58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539.054,32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602041"/>
          </w:tcPr>
          <w:p>
            <w:pPr>
              <w:pStyle w:val="TableParagraph"/>
              <w:spacing w:before="52"/>
              <w:ind w:right="78"/>
              <w:rPr>
                <w:b/>
                <w:sz w:val="14"/>
              </w:rPr>
            </w:pPr>
            <w:r>
              <w:rPr>
                <w:b/>
                <w:color w:val="EBC5D9"/>
                <w:spacing w:val="-5"/>
                <w:w w:val="105"/>
                <w:sz w:val="14"/>
              </w:rPr>
              <w:t>7,4</w:t>
            </w:r>
          </w:p>
        </w:tc>
      </w:tr>
      <w:tr>
        <w:trPr>
          <w:trHeight w:val="266" w:hRule="atLeast"/>
        </w:trPr>
        <w:tc>
          <w:tcPr>
            <w:tcW w:w="1382" w:type="dxa"/>
            <w:gridSpan w:val="2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45"/>
              <w:ind w:left="482" w:right="471"/>
              <w:jc w:val="center"/>
              <w:rPr>
                <w:b/>
                <w:sz w:val="14"/>
              </w:rPr>
            </w:pPr>
            <w:r>
              <w:rPr>
                <w:b/>
                <w:color w:val="EBC5D9"/>
                <w:spacing w:val="-4"/>
                <w:w w:val="105"/>
                <w:sz w:val="14"/>
              </w:rPr>
              <w:t>TOTAL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0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17.126.163,71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7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3.468.235,59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13"/>
              <w:rPr>
                <w:b/>
                <w:sz w:val="14"/>
              </w:rPr>
            </w:pPr>
            <w:r>
              <w:rPr>
                <w:b/>
                <w:color w:val="EBC5D9"/>
                <w:spacing w:val="-4"/>
                <w:w w:val="105"/>
                <w:sz w:val="14"/>
              </w:rPr>
              <w:t>20,3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2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18.536.141,90</w:t>
            </w:r>
          </w:p>
        </w:tc>
        <w:tc>
          <w:tcPr>
            <w:tcW w:w="1175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52"/>
              <w:ind w:right="79"/>
              <w:rPr>
                <w:b/>
                <w:sz w:val="14"/>
              </w:rPr>
            </w:pPr>
            <w:r>
              <w:rPr>
                <w:b/>
                <w:color w:val="EBC5D9"/>
                <w:spacing w:val="-2"/>
                <w:w w:val="105"/>
                <w:sz w:val="14"/>
              </w:rPr>
              <w:t>3.333.285,28</w:t>
            </w:r>
          </w:p>
        </w:tc>
        <w:tc>
          <w:tcPr>
            <w:tcW w:w="117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4" w:space="0" w:color="D3D3D3"/>
            </w:tcBorders>
            <w:shd w:val="clear" w:color="auto" w:fill="602041"/>
          </w:tcPr>
          <w:p>
            <w:pPr>
              <w:pStyle w:val="TableParagraph"/>
              <w:spacing w:before="52"/>
              <w:ind w:right="71"/>
              <w:rPr>
                <w:b/>
                <w:sz w:val="14"/>
              </w:rPr>
            </w:pPr>
            <w:r>
              <w:rPr>
                <w:b/>
                <w:color w:val="EBC5D9"/>
                <w:spacing w:val="-4"/>
                <w:w w:val="105"/>
                <w:sz w:val="14"/>
              </w:rPr>
              <w:t>18,0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0" w:lineRule="auto"/>
        <w:ind w:left="118" w:right="172" w:firstLine="851"/>
        <w:jc w:val="both"/>
      </w:pPr>
      <w:r>
        <w:rPr/>
        <w:t>Para o cálculo do Repasse do Fundo de Apoio foi considerado as regras previstas na Proposta nº 6/2021 – CG-FA, que são: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360" w:lineRule="auto" w:before="160" w:after="0"/>
        <w:ind w:left="970" w:right="167" w:firstLine="0"/>
        <w:jc w:val="both"/>
        <w:rPr>
          <w:sz w:val="24"/>
        </w:rPr>
      </w:pPr>
      <w:r>
        <w:rPr>
          <w:sz w:val="24"/>
        </w:rPr>
        <w:t>– Na elaboração do quadro do Fundo de Apoio para a Programação e Reprogramação Orçamentária de cada ano, foram considerados os exercícios anteriores na projeção de receitas de arrecadação conforme o limite mínimo proposto pela CPFI-CAU/BR a todos os CAU/UF para este exercício;</w:t>
      </w:r>
    </w:p>
    <w:p>
      <w:pPr>
        <w:pStyle w:val="ListParagraph"/>
        <w:numPr>
          <w:ilvl w:val="0"/>
          <w:numId w:val="3"/>
        </w:numPr>
        <w:tabs>
          <w:tab w:pos="1242" w:val="left" w:leader="none"/>
        </w:tabs>
        <w:spacing w:line="360" w:lineRule="auto" w:before="160" w:after="0"/>
        <w:ind w:left="970" w:right="168" w:firstLine="0"/>
        <w:jc w:val="both"/>
        <w:rPr>
          <w:sz w:val="24"/>
        </w:rPr>
      </w:pPr>
      <w:r>
        <w:rPr>
          <w:sz w:val="24"/>
        </w:rPr>
        <w:t>– Aos CAU Básicos que na Reprogramação Orçamentária, tiverem projeção de arrecadação acima do valor do CAU Básico definido para o exercicio, será mantido o percentual do valor dos Recursos do Fundo da Programação, bem como os recursos para participação nas plenárias ampliadas.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0"/>
        </w:rPr>
      </w:pPr>
    </w:p>
    <w:p>
      <w:pPr>
        <w:pStyle w:val="Heading3"/>
        <w:numPr>
          <w:ilvl w:val="0"/>
          <w:numId w:val="2"/>
        </w:numPr>
        <w:tabs>
          <w:tab w:pos="1250" w:val="left" w:leader="none"/>
        </w:tabs>
        <w:spacing w:line="240" w:lineRule="auto" w:before="0" w:after="0"/>
        <w:ind w:left="1249" w:right="0" w:hanging="280"/>
        <w:jc w:val="both"/>
      </w:pPr>
      <w:bookmarkStart w:name="_bookmark8" w:id="9"/>
      <w:bookmarkEnd w:id="9"/>
      <w:r>
        <w:rPr>
          <w:color w:val="602041"/>
        </w:rPr>
        <w:t>AP</w:t>
      </w:r>
      <w:r>
        <w:rPr>
          <w:color w:val="602041"/>
        </w:rPr>
        <w:t>LICAÇÃO</w:t>
      </w:r>
      <w:r>
        <w:rPr>
          <w:color w:val="602041"/>
          <w:spacing w:val="-4"/>
        </w:rPr>
        <w:t> </w:t>
      </w:r>
      <w:r>
        <w:rPr>
          <w:color w:val="602041"/>
        </w:rPr>
        <w:t>DOS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RECURSOS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360" w:lineRule="auto"/>
        <w:ind w:left="118" w:right="163" w:firstLine="851"/>
        <w:jc w:val="both"/>
      </w:pPr>
      <w:r>
        <w:rPr/>
        <w:t>A Reprogramação, contemplando recursos no montante de </w:t>
      </w:r>
      <w:r>
        <w:rPr>
          <w:b/>
        </w:rPr>
        <w:t>R$ 297,80 milhões </w:t>
      </w:r>
      <w:r>
        <w:rPr/>
        <w:t>envolve a execução de </w:t>
      </w:r>
      <w:r>
        <w:rPr>
          <w:b/>
        </w:rPr>
        <w:t>806 iniciativas estratégicas</w:t>
      </w:r>
      <w:r>
        <w:rPr/>
        <w:t>. Aos 236 projetos estão direcionados 25,5% dos recursos totais,</w:t>
      </w:r>
      <w:r>
        <w:rPr>
          <w:spacing w:val="-11"/>
        </w:rPr>
        <w:t> </w:t>
      </w:r>
      <w:r>
        <w:rPr/>
        <w:t>ou</w:t>
      </w:r>
      <w:r>
        <w:rPr>
          <w:spacing w:val="-7"/>
        </w:rPr>
        <w:t> </w:t>
      </w:r>
      <w:r>
        <w:rPr/>
        <w:t>R$</w:t>
      </w:r>
      <w:r>
        <w:rPr>
          <w:spacing w:val="-10"/>
        </w:rPr>
        <w:t> </w:t>
      </w:r>
      <w:r>
        <w:rPr/>
        <w:t>81,72</w:t>
      </w:r>
      <w:r>
        <w:rPr>
          <w:spacing w:val="-8"/>
        </w:rPr>
        <w:t> </w:t>
      </w:r>
      <w:r>
        <w:rPr/>
        <w:t>milhões.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57</w:t>
      </w:r>
      <w:r>
        <w:rPr>
          <w:spacing w:val="-8"/>
        </w:rPr>
        <w:t> </w:t>
      </w:r>
      <w:r>
        <w:rPr/>
        <w:t>projetos</w:t>
      </w:r>
      <w:r>
        <w:rPr>
          <w:spacing w:val="-9"/>
        </w:rPr>
        <w:t> </w:t>
      </w:r>
      <w:r>
        <w:rPr/>
        <w:t>específicos</w:t>
      </w:r>
      <w:r>
        <w:rPr>
          <w:spacing w:val="-8"/>
        </w:rPr>
        <w:t> </w:t>
      </w:r>
      <w:r>
        <w:rPr/>
        <w:t>estão</w:t>
      </w:r>
      <w:r>
        <w:rPr>
          <w:spacing w:val="-10"/>
        </w:rPr>
        <w:t> </w:t>
      </w:r>
      <w:r>
        <w:rPr/>
        <w:t>direcionados</w:t>
      </w:r>
      <w:r>
        <w:rPr>
          <w:spacing w:val="-7"/>
        </w:rPr>
        <w:t> </w:t>
      </w:r>
      <w:r>
        <w:rPr/>
        <w:t>R$</w:t>
      </w:r>
      <w:r>
        <w:rPr>
          <w:spacing w:val="-9"/>
        </w:rPr>
        <w:t> </w:t>
      </w:r>
      <w:r>
        <w:rPr/>
        <w:t>15,06</w:t>
      </w:r>
      <w:r>
        <w:rPr>
          <w:spacing w:val="-7"/>
        </w:rPr>
        <w:t> </w:t>
      </w:r>
      <w:r>
        <w:rPr/>
        <w:t>milhões.</w:t>
      </w:r>
      <w:r>
        <w:rPr>
          <w:spacing w:val="-9"/>
        </w:rPr>
        <w:t> </w:t>
      </w:r>
      <w:r>
        <w:rPr/>
        <w:t>As 513 atividades respondem por recursos no montante de R$ 242,08 milhões, ou 69,8%. Estas iniciativas</w:t>
      </w:r>
      <w:r>
        <w:rPr>
          <w:spacing w:val="-5"/>
        </w:rPr>
        <w:t> </w:t>
      </w:r>
      <w:r>
        <w:rPr/>
        <w:t>estratégicas</w:t>
      </w:r>
      <w:r>
        <w:rPr>
          <w:spacing w:val="-4"/>
        </w:rPr>
        <w:t> </w:t>
      </w:r>
      <w:r>
        <w:rPr/>
        <w:t>incluem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28</w:t>
      </w:r>
      <w:r>
        <w:rPr>
          <w:spacing w:val="-3"/>
        </w:rPr>
        <w:t> </w:t>
      </w:r>
      <w:r>
        <w:rPr/>
        <w:t>atividades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Aporte</w:t>
      </w:r>
      <w:r>
        <w:rPr>
          <w:spacing w:val="-6"/>
        </w:rPr>
        <w:t> </w:t>
      </w:r>
      <w:r>
        <w:rPr/>
        <w:t>ao</w:t>
      </w:r>
      <w:r>
        <w:rPr>
          <w:spacing w:val="-3"/>
        </w:rPr>
        <w:t> </w:t>
      </w:r>
      <w:r>
        <w:rPr/>
        <w:t>Fundo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Apoio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recebem</w:t>
      </w:r>
      <w:r>
        <w:rPr>
          <w:spacing w:val="-4"/>
        </w:rPr>
        <w:t> </w:t>
      </w:r>
      <w:r>
        <w:rPr/>
        <w:t>R$</w:t>
      </w:r>
      <w:r>
        <w:rPr>
          <w:spacing w:val="-4"/>
        </w:rPr>
        <w:t> </w:t>
      </w:r>
      <w:r>
        <w:rPr/>
        <w:t>2,85</w:t>
      </w:r>
    </w:p>
    <w:p>
      <w:pPr>
        <w:spacing w:after="0" w:line="360" w:lineRule="auto"/>
        <w:jc w:val="both"/>
        <w:sectPr>
          <w:pgSz w:w="11910" w:h="16840"/>
          <w:pgMar w:header="689" w:footer="261" w:top="1580" w:bottom="460" w:left="1300" w:right="680"/>
        </w:sectPr>
      </w:pPr>
    </w:p>
    <w:p>
      <w:pPr>
        <w:pStyle w:val="BodyText"/>
        <w:spacing w:line="360" w:lineRule="auto" w:before="14"/>
        <w:ind w:left="118" w:right="171"/>
        <w:jc w:val="both"/>
      </w:pPr>
      <w:r>
        <w:rPr/>
        <w:t>milhões, ou 0,9% do total; as 27 atividades de contribuição ao Centro de Serviços Compartilhados CSC com R$ 13,19 milhões, ou 4,1%; e às 23 atividades de Reserva de Contingência os recursos direcionados são de R$ 1,41 milhão, ou 0,4%, conforme os quadros 2 e 3 e anexo 3.1.</w:t>
      </w:r>
    </w:p>
    <w:p>
      <w:pPr>
        <w:pStyle w:val="BodyText"/>
        <w:spacing w:line="360" w:lineRule="auto" w:before="160"/>
        <w:ind w:left="118" w:right="163" w:firstLine="851"/>
        <w:jc w:val="both"/>
      </w:pPr>
      <w:r>
        <w:rPr/>
        <w:t>Do total das propostas das reprogramações ao Plano de Ação do CAU exercício 2022, em 86</w:t>
      </w:r>
      <w:r>
        <w:rPr>
          <w:spacing w:val="-11"/>
        </w:rPr>
        <w:t> </w:t>
      </w:r>
      <w:r>
        <w:rPr/>
        <w:t>iniciativas</w:t>
      </w:r>
      <w:r>
        <w:rPr>
          <w:spacing w:val="-13"/>
        </w:rPr>
        <w:t> </w:t>
      </w:r>
      <w:r>
        <w:rPr/>
        <w:t>estratégicas,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CAU/BR</w:t>
      </w:r>
      <w:r>
        <w:rPr>
          <w:spacing w:val="-13"/>
        </w:rPr>
        <w:t> </w:t>
      </w:r>
      <w:r>
        <w:rPr/>
        <w:t>aplicará</w:t>
      </w:r>
      <w:r>
        <w:rPr>
          <w:spacing w:val="-13"/>
        </w:rPr>
        <w:t> </w:t>
      </w:r>
      <w:r>
        <w:rPr/>
        <w:t>25,7%,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R$</w:t>
      </w:r>
      <w:r>
        <w:rPr>
          <w:spacing w:val="-13"/>
        </w:rPr>
        <w:t> </w:t>
      </w:r>
      <w:r>
        <w:rPr/>
        <w:t>82,40</w:t>
      </w:r>
      <w:r>
        <w:rPr>
          <w:spacing w:val="-11"/>
        </w:rPr>
        <w:t> </w:t>
      </w:r>
      <w:r>
        <w:rPr/>
        <w:t>milhões,</w:t>
      </w:r>
      <w:r>
        <w:rPr>
          <w:spacing w:val="-13"/>
        </w:rPr>
        <w:t> </w:t>
      </w:r>
      <w:r>
        <w:rPr/>
        <w:t>enquanto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os</w:t>
      </w:r>
      <w:r>
        <w:rPr>
          <w:spacing w:val="-12"/>
        </w:rPr>
        <w:t> </w:t>
      </w:r>
      <w:r>
        <w:rPr/>
        <w:t>CAU/UF, em</w:t>
      </w:r>
      <w:r>
        <w:rPr>
          <w:spacing w:val="-1"/>
        </w:rPr>
        <w:t> </w:t>
      </w:r>
      <w:r>
        <w:rPr/>
        <w:t>720</w:t>
      </w:r>
      <w:r>
        <w:rPr>
          <w:spacing w:val="-3"/>
        </w:rPr>
        <w:t> </w:t>
      </w:r>
      <w:r>
        <w:rPr/>
        <w:t>iniciativas,</w:t>
      </w:r>
      <w:r>
        <w:rPr>
          <w:spacing w:val="-5"/>
        </w:rPr>
        <w:t> </w:t>
      </w:r>
      <w:r>
        <w:rPr/>
        <w:t>serão</w:t>
      </w:r>
      <w:r>
        <w:rPr>
          <w:spacing w:val="-6"/>
        </w:rPr>
        <w:t> </w:t>
      </w:r>
      <w:r>
        <w:rPr/>
        <w:t>responsáveis</w:t>
      </w:r>
      <w:r>
        <w:rPr>
          <w:spacing w:val="-4"/>
        </w:rPr>
        <w:t> </w:t>
      </w:r>
      <w:r>
        <w:rPr/>
        <w:t>pela</w:t>
      </w:r>
      <w:r>
        <w:rPr>
          <w:spacing w:val="-3"/>
        </w:rPr>
        <w:t> </w:t>
      </w:r>
      <w:r>
        <w:rPr/>
        <w:t>aplicação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cerca</w:t>
      </w:r>
      <w:r>
        <w:rPr>
          <w:spacing w:val="-4"/>
        </w:rPr>
        <w:t> </w:t>
      </w:r>
      <w:r>
        <w:rPr/>
        <w:t>de 74,3%</w:t>
      </w:r>
      <w:r>
        <w:rPr>
          <w:spacing w:val="-5"/>
        </w:rPr>
        <w:t> </w:t>
      </w:r>
      <w:r>
        <w:rPr/>
        <w:t>dos</w:t>
      </w:r>
      <w:r>
        <w:rPr>
          <w:spacing w:val="-2"/>
        </w:rPr>
        <w:t> </w:t>
      </w:r>
      <w:r>
        <w:rPr/>
        <w:t>recursos,</w:t>
      </w:r>
      <w:r>
        <w:rPr>
          <w:spacing w:val="-4"/>
        </w:rPr>
        <w:t> </w:t>
      </w:r>
      <w:r>
        <w:rPr/>
        <w:t>ou</w:t>
      </w:r>
      <w:r>
        <w:rPr>
          <w:spacing w:val="-3"/>
        </w:rPr>
        <w:t> </w:t>
      </w:r>
      <w:r>
        <w:rPr/>
        <w:t>R$</w:t>
      </w:r>
      <w:r>
        <w:rPr>
          <w:spacing w:val="-1"/>
        </w:rPr>
        <w:t> </w:t>
      </w:r>
      <w:r>
        <w:rPr/>
        <w:t>238,46 milhões.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detalhamento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CAU/UF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CAU/BR,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análise</w:t>
      </w:r>
      <w:r>
        <w:rPr>
          <w:spacing w:val="-14"/>
        </w:rPr>
        <w:t> </w:t>
      </w:r>
      <w:r>
        <w:rPr/>
        <w:t>comparativa</w:t>
      </w:r>
      <w:r>
        <w:rPr>
          <w:spacing w:val="-13"/>
        </w:rPr>
        <w:t> </w:t>
      </w:r>
      <w:r>
        <w:rPr/>
        <w:t>das</w:t>
      </w:r>
      <w:r>
        <w:rPr>
          <w:spacing w:val="-14"/>
        </w:rPr>
        <w:t> </w:t>
      </w:r>
      <w:r>
        <w:rPr/>
        <w:t>aplicações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iniciativas estratégicas e a Programação Operacional constam nos Anexos 1; 3 e 3.1.</w:t>
      </w:r>
    </w:p>
    <w:p>
      <w:pPr>
        <w:pStyle w:val="BodyText"/>
        <w:spacing w:line="360" w:lineRule="auto" w:before="160"/>
        <w:ind w:left="118" w:right="166" w:firstLine="851"/>
        <w:jc w:val="both"/>
      </w:pPr>
      <w:r>
        <w:rPr/>
        <w:t>Da programação a ser desenvolvida pelo CAU/BR, cabe mencionar as ações destinadas ao Centro de Serviços Compartilhados CSC, de gestão e custeio compartilhado com os CAU/UF, que envolvem recursos no montante de </w:t>
      </w:r>
      <w:r>
        <w:rPr>
          <w:b/>
        </w:rPr>
        <w:t>R$ 13,19 milhões</w:t>
      </w:r>
      <w:r>
        <w:rPr/>
        <w:t>, representando um decréscimo de 0,3% da Programação inicial (R$ 13,56 milhões).</w:t>
      </w:r>
    </w:p>
    <w:p>
      <w:pPr>
        <w:pStyle w:val="BodyText"/>
        <w:spacing w:line="360" w:lineRule="auto" w:before="160"/>
        <w:ind w:left="118" w:right="163" w:firstLine="851"/>
        <w:jc w:val="both"/>
      </w:pPr>
      <w:r>
        <w:rPr/>
        <w:t>No</w:t>
      </w:r>
      <w:r>
        <w:rPr>
          <w:spacing w:val="-14"/>
        </w:rPr>
        <w:t> </w:t>
      </w:r>
      <w:r>
        <w:rPr/>
        <w:t>tocante</w:t>
      </w:r>
      <w:r>
        <w:rPr>
          <w:spacing w:val="-13"/>
        </w:rPr>
        <w:t> </w:t>
      </w:r>
      <w:r>
        <w:rPr/>
        <w:t>aos</w:t>
      </w:r>
      <w:r>
        <w:rPr>
          <w:spacing w:val="-13"/>
        </w:rPr>
        <w:t> </w:t>
      </w:r>
      <w:r>
        <w:rPr/>
        <w:t>recursos</w:t>
      </w:r>
      <w:r>
        <w:rPr>
          <w:spacing w:val="-13"/>
        </w:rPr>
        <w:t> </w:t>
      </w:r>
      <w:r>
        <w:rPr/>
        <w:t>destinados</w:t>
      </w:r>
      <w:r>
        <w:rPr>
          <w:spacing w:val="-13"/>
        </w:rPr>
        <w:t> </w:t>
      </w:r>
      <w:r>
        <w:rPr/>
        <w:t>aos</w:t>
      </w:r>
      <w:r>
        <w:rPr>
          <w:spacing w:val="-14"/>
        </w:rPr>
        <w:t> </w:t>
      </w:r>
      <w:r>
        <w:rPr/>
        <w:t>CAU/UF</w:t>
      </w:r>
      <w:r>
        <w:rPr>
          <w:spacing w:val="-11"/>
        </w:rPr>
        <w:t> </w:t>
      </w:r>
      <w:r>
        <w:rPr/>
        <w:t>(R$</w:t>
      </w:r>
      <w:r>
        <w:rPr>
          <w:spacing w:val="-11"/>
        </w:rPr>
        <w:t> </w:t>
      </w:r>
      <w:r>
        <w:rPr/>
        <w:t>238,46</w:t>
      </w:r>
      <w:r>
        <w:rPr>
          <w:spacing w:val="-13"/>
        </w:rPr>
        <w:t> </w:t>
      </w:r>
      <w:r>
        <w:rPr/>
        <w:t>milhões),</w:t>
      </w:r>
      <w:r>
        <w:rPr>
          <w:spacing w:val="-14"/>
        </w:rPr>
        <w:t> </w:t>
      </w:r>
      <w:r>
        <w:rPr/>
        <w:t>71,9%</w:t>
      </w:r>
      <w:r>
        <w:rPr>
          <w:spacing w:val="-12"/>
        </w:rPr>
        <w:t> </w:t>
      </w:r>
      <w:r>
        <w:rPr/>
        <w:t>são</w:t>
      </w:r>
      <w:r>
        <w:rPr>
          <w:spacing w:val="-13"/>
        </w:rPr>
        <w:t> </w:t>
      </w:r>
      <w:r>
        <w:rPr/>
        <w:t>destinados às</w:t>
      </w:r>
      <w:r>
        <w:rPr>
          <w:spacing w:val="-3"/>
        </w:rPr>
        <w:t> </w:t>
      </w:r>
      <w:r>
        <w:rPr/>
        <w:t>regiões</w:t>
      </w:r>
      <w:r>
        <w:rPr>
          <w:spacing w:val="-2"/>
        </w:rPr>
        <w:t> </w:t>
      </w:r>
      <w:r>
        <w:rPr/>
        <w:t>Sudeste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Sul,</w:t>
      </w:r>
      <w:r>
        <w:rPr>
          <w:spacing w:val="-6"/>
        </w:rPr>
        <w:t> </w:t>
      </w:r>
      <w:r>
        <w:rPr/>
        <w:t>sendo:</w:t>
      </w:r>
      <w:r>
        <w:rPr>
          <w:spacing w:val="-2"/>
        </w:rPr>
        <w:t> </w:t>
      </w:r>
      <w:r>
        <w:rPr/>
        <w:t>região</w:t>
      </w:r>
      <w:r>
        <w:rPr>
          <w:spacing w:val="-3"/>
        </w:rPr>
        <w:t> </w:t>
      </w:r>
      <w:r>
        <w:rPr/>
        <w:t>Sudeste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R$</w:t>
      </w:r>
      <w:r>
        <w:rPr>
          <w:spacing w:val="-1"/>
        </w:rPr>
        <w:t> </w:t>
      </w:r>
      <w:r>
        <w:rPr/>
        <w:t>104,68</w:t>
      </w:r>
      <w:r>
        <w:rPr>
          <w:spacing w:val="-3"/>
        </w:rPr>
        <w:t> </w:t>
      </w:r>
      <w:r>
        <w:rPr/>
        <w:t>milhões,</w:t>
      </w:r>
      <w:r>
        <w:rPr>
          <w:spacing w:val="-4"/>
        </w:rPr>
        <w:t> </w:t>
      </w:r>
      <w:r>
        <w:rPr/>
        <w:t>ou</w:t>
      </w:r>
      <w:r>
        <w:rPr>
          <w:spacing w:val="-2"/>
        </w:rPr>
        <w:t> </w:t>
      </w:r>
      <w:r>
        <w:rPr/>
        <w:t>43,9%,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região</w:t>
      </w:r>
      <w:r>
        <w:rPr>
          <w:spacing w:val="-3"/>
        </w:rPr>
        <w:t> </w:t>
      </w:r>
      <w:r>
        <w:rPr/>
        <w:t>Sul</w:t>
      </w:r>
      <w:r>
        <w:rPr>
          <w:spacing w:val="-4"/>
        </w:rPr>
        <w:t> </w:t>
      </w:r>
      <w:r>
        <w:rPr/>
        <w:t>com R$ 66,76 milhões ou 28%. Na sequência, a região Nordeste se apresenta com 13% (R$ 30,93 milhões),</w:t>
      </w:r>
      <w:r>
        <w:rPr>
          <w:spacing w:val="-9"/>
        </w:rPr>
        <w:t> </w:t>
      </w:r>
      <w:r>
        <w:rPr/>
        <w:t>seguida</w:t>
      </w:r>
      <w:r>
        <w:rPr>
          <w:spacing w:val="-11"/>
        </w:rPr>
        <w:t> </w:t>
      </w:r>
      <w:r>
        <w:rPr/>
        <w:t>pelas</w:t>
      </w:r>
      <w:r>
        <w:rPr>
          <w:spacing w:val="-9"/>
        </w:rPr>
        <w:t> </w:t>
      </w:r>
      <w:r>
        <w:rPr/>
        <w:t>regiões</w:t>
      </w:r>
      <w:r>
        <w:rPr>
          <w:spacing w:val="-8"/>
        </w:rPr>
        <w:t> </w:t>
      </w:r>
      <w:r>
        <w:rPr/>
        <w:t>Centro-Oeste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Norte</w:t>
      </w:r>
      <w:r>
        <w:rPr>
          <w:spacing w:val="-11"/>
        </w:rPr>
        <w:t> </w:t>
      </w:r>
      <w:r>
        <w:rPr/>
        <w:t>com</w:t>
      </w:r>
      <w:r>
        <w:rPr>
          <w:spacing w:val="-9"/>
        </w:rPr>
        <w:t> </w:t>
      </w:r>
      <w:r>
        <w:rPr/>
        <w:t>9,1%</w:t>
      </w:r>
      <w:r>
        <w:rPr>
          <w:spacing w:val="-10"/>
        </w:rPr>
        <w:t> </w:t>
      </w:r>
      <w:r>
        <w:rPr/>
        <w:t>(R$</w:t>
      </w:r>
      <w:r>
        <w:rPr>
          <w:spacing w:val="-8"/>
        </w:rPr>
        <w:t> </w:t>
      </w:r>
      <w:r>
        <w:rPr/>
        <w:t>21,66</w:t>
      </w:r>
      <w:r>
        <w:rPr>
          <w:spacing w:val="-12"/>
        </w:rPr>
        <w:t> </w:t>
      </w:r>
      <w:r>
        <w:rPr/>
        <w:t>milhões)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6,1%</w:t>
      </w:r>
      <w:r>
        <w:rPr>
          <w:spacing w:val="-10"/>
        </w:rPr>
        <w:t> </w:t>
      </w:r>
      <w:r>
        <w:rPr/>
        <w:t>(R$</w:t>
      </w:r>
      <w:r>
        <w:rPr>
          <w:spacing w:val="-8"/>
        </w:rPr>
        <w:t> </w:t>
      </w:r>
      <w:r>
        <w:rPr/>
        <w:t>14,43 milhões),</w:t>
      </w:r>
      <w:r>
        <w:rPr>
          <w:spacing w:val="-14"/>
        </w:rPr>
        <w:t> </w:t>
      </w:r>
      <w:r>
        <w:rPr/>
        <w:t>respectivamente.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representação</w:t>
      </w:r>
      <w:r>
        <w:rPr>
          <w:spacing w:val="-13"/>
        </w:rPr>
        <w:t> </w:t>
      </w:r>
      <w:r>
        <w:rPr/>
        <w:t>gráfica</w:t>
      </w:r>
      <w:r>
        <w:rPr>
          <w:spacing w:val="-12"/>
        </w:rPr>
        <w:t> </w:t>
      </w:r>
      <w:r>
        <w:rPr/>
        <w:t>está</w:t>
      </w:r>
      <w:r>
        <w:rPr>
          <w:spacing w:val="-13"/>
        </w:rPr>
        <w:t> </w:t>
      </w:r>
      <w:r>
        <w:rPr/>
        <w:t>na</w:t>
      </w:r>
      <w:r>
        <w:rPr>
          <w:spacing w:val="-13"/>
        </w:rPr>
        <w:t> </w:t>
      </w:r>
      <w:r>
        <w:rPr/>
        <w:t>forma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Gráfico</w:t>
      </w:r>
      <w:r>
        <w:rPr>
          <w:spacing w:val="-8"/>
        </w:rPr>
        <w:t> </w:t>
      </w:r>
      <w:r>
        <w:rPr/>
        <w:t>4.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detalhamento</w:t>
      </w:r>
      <w:r>
        <w:rPr>
          <w:spacing w:val="-13"/>
        </w:rPr>
        <w:t> </w:t>
      </w:r>
      <w:r>
        <w:rPr/>
        <w:t>por CAU/UF apresenta-se no Anexo 2.</w:t>
      </w:r>
    </w:p>
    <w:p>
      <w:pPr>
        <w:spacing w:before="159"/>
        <w:ind w:left="0" w:right="167" w:firstLine="0"/>
        <w:jc w:val="right"/>
        <w:rPr>
          <w:b/>
          <w:sz w:val="22"/>
        </w:rPr>
      </w:pPr>
      <w:bookmarkStart w:name="_bookmark9" w:id="10"/>
      <w:bookmarkEnd w:id="10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3.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CAU/UF</w:t>
      </w:r>
    </w:p>
    <w:p>
      <w:pPr>
        <w:spacing w:before="0"/>
        <w:ind w:left="0" w:right="170" w:firstLine="0"/>
        <w:jc w:val="right"/>
        <w:rPr>
          <w:b/>
          <w:sz w:val="22"/>
        </w:rPr>
      </w:pPr>
      <w:r>
        <w:rPr>
          <w:b/>
          <w:sz w:val="22"/>
        </w:rPr>
        <w:t>(Programação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2022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X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Reprogramação</w:t>
      </w:r>
      <w:r>
        <w:rPr>
          <w:b/>
          <w:spacing w:val="-8"/>
          <w:sz w:val="22"/>
        </w:rPr>
        <w:t> </w:t>
      </w:r>
      <w:r>
        <w:rPr>
          <w:b/>
          <w:spacing w:val="-4"/>
          <w:sz w:val="22"/>
        </w:rPr>
        <w:t>2022)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900430</wp:posOffset>
            </wp:positionH>
            <wp:positionV relativeFrom="paragraph">
              <wp:posOffset>170269</wp:posOffset>
            </wp:positionV>
            <wp:extent cx="6147851" cy="317754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851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689" w:footer="261" w:top="1580" w:bottom="460" w:left="1300" w:right="680"/>
        </w:sectPr>
      </w:pPr>
    </w:p>
    <w:p>
      <w:pPr>
        <w:spacing w:before="13"/>
        <w:ind w:left="5771" w:right="166" w:hanging="1654"/>
        <w:jc w:val="right"/>
        <w:rPr>
          <w:b/>
          <w:sz w:val="22"/>
        </w:rPr>
      </w:pPr>
      <w:bookmarkStart w:name="_bookmark10" w:id="11"/>
      <w:bookmarkEnd w:id="11"/>
      <w:r>
        <w:rPr/>
      </w:r>
      <w:r>
        <w:rPr>
          <w:b/>
          <w:sz w:val="22"/>
        </w:rPr>
        <w:t>Quadro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2.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Projetos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região (Programação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2022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x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Reprogramação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2022)</w:t>
      </w:r>
    </w:p>
    <w:p>
      <w:pPr>
        <w:spacing w:before="1"/>
        <w:ind w:left="0" w:right="171" w:firstLine="0"/>
        <w:jc w:val="right"/>
        <w:rPr>
          <w:sz w:val="20"/>
        </w:rPr>
      </w:pPr>
      <w:r>
        <w:rPr>
          <w:sz w:val="20"/>
        </w:rPr>
        <w:t>(Valores</w:t>
      </w:r>
      <w:r>
        <w:rPr>
          <w:spacing w:val="-7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R$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1,00)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0" w:right="167" w:firstLine="0"/>
        <w:jc w:val="right"/>
        <w:rPr>
          <w:b/>
          <w:sz w:val="22"/>
        </w:rPr>
      </w:pPr>
      <w:bookmarkStart w:name="_bookmark11" w:id="12"/>
      <w:bookmarkEnd w:id="12"/>
      <w:r>
        <w:rPr/>
      </w:r>
      <w:r>
        <w:rPr>
          <w:b/>
          <w:sz w:val="22"/>
        </w:rPr>
        <w:t>Quadro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3.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Atividade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região</w:t>
      </w:r>
    </w:p>
    <w:p>
      <w:pPr>
        <w:spacing w:before="1"/>
        <w:ind w:left="0" w:right="166" w:firstLine="0"/>
        <w:jc w:val="right"/>
        <w:rPr>
          <w:b/>
          <w:sz w:val="22"/>
        </w:rPr>
      </w:pPr>
      <w:r>
        <w:rPr>
          <w:b/>
          <w:sz w:val="22"/>
        </w:rPr>
        <w:t>(Programação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2022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x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Reprogramação</w:t>
      </w:r>
      <w:r>
        <w:rPr>
          <w:b/>
          <w:spacing w:val="-8"/>
          <w:sz w:val="22"/>
        </w:rPr>
        <w:t> </w:t>
      </w:r>
      <w:r>
        <w:rPr>
          <w:b/>
          <w:spacing w:val="-4"/>
          <w:sz w:val="22"/>
        </w:rPr>
        <w:t>2022)</w:t>
      </w:r>
    </w:p>
    <w:p>
      <w:pPr>
        <w:spacing w:before="0"/>
        <w:ind w:left="0" w:right="167" w:firstLine="0"/>
        <w:jc w:val="right"/>
        <w:rPr>
          <w:b/>
          <w:sz w:val="22"/>
        </w:rPr>
      </w:pPr>
      <w:r>
        <w:rPr/>
        <w:pict>
          <v:shape style="position:absolute;margin-left:552.148254pt;margin-top:13.397137pt;width:.3pt;height:.3pt;mso-position-horizontal-relative:page;mso-position-vertical-relative:paragraph;z-index:15732736" id="docshape2" coordorigin="11043,268" coordsize="6,6" path="m11043,271l11044,269,11046,268,11048,269,11049,271,11048,273,11046,274,11044,273,11043,271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25.372684pt;width:.3pt;height:.3pt;mso-position-horizontal-relative:page;mso-position-vertical-relative:paragraph;z-index:15733248" id="docshape3" coordorigin="11043,507" coordsize="6,6" path="m11043,510l11044,508,11046,507,11048,508,11049,510,11048,513,11046,513,11044,513,11043,510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50.524529pt;width:.3pt;height:.3pt;mso-position-horizontal-relative:page;mso-position-vertical-relative:paragraph;z-index:15733760" id="docshape4" coordorigin="11043,1010" coordsize="6,6" path="m11043,1013l11044,1011,11046,1010,11048,1011,11049,1013,11048,1016,11046,1016,11044,1016,11043,1013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62.504063pt;width:.3pt;height:.3pt;mso-position-horizontal-relative:page;mso-position-vertical-relative:paragraph;z-index:15734272" id="docshape5" coordorigin="11043,1250" coordsize="6,6" path="m11043,1253l11044,1251,11046,1250,11048,1251,11049,1253,11048,1255,11046,1256,11044,1255,11043,1253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74.479614pt;width:.3pt;height:.3pt;mso-position-horizontal-relative:page;mso-position-vertical-relative:paragraph;z-index:15734784" id="docshape6" coordorigin="11043,1490" coordsize="6,6" path="m11043,1493l11044,1490,11046,1490,11048,1490,11049,1493,11048,1495,11046,1496,11044,1495,11043,1493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86.447182pt;width:.3pt;height:.3pt;mso-position-horizontal-relative:page;mso-position-vertical-relative:paragraph;z-index:15735296" id="docshape7" coordorigin="11043,1729" coordsize="6,6" path="m11043,1732l11044,1730,11046,1729,11048,1730,11049,1732,11048,1734,11046,1735,11044,1734,11043,1732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98.42672pt;width:.3pt;height:.3pt;mso-position-horizontal-relative:page;mso-position-vertical-relative:paragraph;z-index:15735808" id="docshape8" coordorigin="11043,1969" coordsize="6,6" path="m11043,1972l11044,1969,11046,1969,11048,1969,11049,1972,11048,1974,11046,1975,11044,1974,11043,1972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110.402267pt;width:.3pt;height:.3pt;mso-position-horizontal-relative:page;mso-position-vertical-relative:paragraph;z-index:15736320" id="docshape9" coordorigin="11043,2208" coordsize="6,6" path="m11043,2211l11044,2209,11046,2208,11048,2209,11049,2211,11048,2213,11046,2214,11044,2213,11043,2211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122.381805pt;width:.3pt;height:.3pt;mso-position-horizontal-relative:page;mso-position-vertical-relative:paragraph;z-index:15736832" id="docshape10" coordorigin="11043,2448" coordsize="6,6" path="m11043,2451l11044,2449,11046,2448,11048,2449,11049,2451,11048,2453,11046,2454,11044,2453,11043,2451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134.357346pt;width:.3pt;height:.3pt;mso-position-horizontal-relative:page;mso-position-vertical-relative:paragraph;z-index:15737344" id="docshape11" coordorigin="11043,2687" coordsize="6,6" path="m11043,2690l11044,2688,11046,2687,11048,2688,11049,2690,11048,2692,11046,2693,11044,2692,11043,2690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146.336884pt;width:.3pt;height:.3pt;mso-position-horizontal-relative:page;mso-position-vertical-relative:paragraph;z-index:15737856" id="docshape12" coordorigin="11043,2927" coordsize="6,6" path="m11043,2930l11044,2928,11046,2927,11048,2928,11049,2930,11048,2932,11046,2933,11044,2932,11043,2930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158.312439pt;width:.3pt;height:.3pt;mso-position-horizontal-relative:page;mso-position-vertical-relative:paragraph;z-index:15738368" id="docshape13" coordorigin="11043,3166" coordsize="6,6" path="m11043,3169l11044,3167,11046,3166,11048,3167,11049,3169,11048,3171,11046,3172,11044,3171,11043,3169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170.291977pt;width:.3pt;height:.3pt;mso-position-horizontal-relative:page;mso-position-vertical-relative:paragraph;z-index:15738880" id="docshape14" coordorigin="11043,3406" coordsize="6,6" path="m11043,3409l11044,3407,11046,3406,11048,3407,11049,3409,11048,3411,11046,3412,11044,3411,11043,3409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182.259537pt;width:.3pt;height:.3pt;mso-position-horizontal-relative:page;mso-position-vertical-relative:paragraph;z-index:15739392" id="docshape15" coordorigin="11043,3645" coordsize="6,6" path="m11043,3648l11044,3646,11046,3645,11048,3646,11049,3648,11048,3650,11046,3651,11044,3650,11043,3648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194.235092pt;width:.3pt;height:.3pt;mso-position-horizontal-relative:page;mso-position-vertical-relative:paragraph;z-index:15739904" id="docshape16" coordorigin="11043,3885" coordsize="6,6" path="m11043,3888l11044,3886,11046,3885,11048,3886,11049,3888,11048,3890,11046,3891,11044,3890,11043,3888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206.21463pt;width:.3pt;height:.3pt;mso-position-horizontal-relative:page;mso-position-vertical-relative:paragraph;z-index:15740416" id="docshape17" coordorigin="11043,4124" coordsize="6,6" path="m11043,4127l11044,4125,11046,4124,11048,4125,11049,4127,11048,4129,11046,4130,11044,4129,11043,4127xe" filled="true" fillcolor="#d3d3d3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(Valores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1,00)</w:t>
      </w:r>
    </w:p>
    <w:tbl>
      <w:tblPr>
        <w:tblW w:w="0" w:type="auto"/>
        <w:jc w:val="left"/>
        <w:tblInd w:w="1362" w:type="dxa"/>
        <w:tblBorders>
          <w:top w:val="single" w:sz="4" w:space="0" w:color="EBC5D9"/>
          <w:left w:val="single" w:sz="4" w:space="0" w:color="EBC5D9"/>
          <w:bottom w:val="single" w:sz="4" w:space="0" w:color="EBC5D9"/>
          <w:right w:val="single" w:sz="4" w:space="0" w:color="EBC5D9"/>
          <w:insideH w:val="single" w:sz="4" w:space="0" w:color="EBC5D9"/>
          <w:insideV w:val="single" w:sz="4" w:space="0" w:color="EBC5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838"/>
        <w:gridCol w:w="1000"/>
        <w:gridCol w:w="527"/>
        <w:gridCol w:w="1000"/>
        <w:gridCol w:w="449"/>
        <w:gridCol w:w="1000"/>
        <w:gridCol w:w="533"/>
        <w:gridCol w:w="449"/>
      </w:tblGrid>
      <w:tr>
        <w:trPr>
          <w:trHeight w:val="224" w:hRule="atLeast"/>
        </w:trPr>
        <w:tc>
          <w:tcPr>
            <w:tcW w:w="2583" w:type="dxa"/>
            <w:vMerge w:val="restart"/>
            <w:tcBorders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0"/>
              <w:ind w:left="1102" w:right="1084"/>
              <w:jc w:val="center"/>
              <w:rPr>
                <w:b/>
                <w:sz w:val="12"/>
              </w:rPr>
            </w:pPr>
            <w:r>
              <w:rPr>
                <w:b/>
                <w:color w:val="F9D1E3"/>
                <w:spacing w:val="-2"/>
                <w:w w:val="105"/>
                <w:sz w:val="12"/>
              </w:rPr>
              <w:t>Região</w:t>
            </w:r>
          </w:p>
        </w:tc>
        <w:tc>
          <w:tcPr>
            <w:tcW w:w="5796" w:type="dxa"/>
            <w:gridSpan w:val="8"/>
            <w:tcBorders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36"/>
              <w:ind w:left="2241" w:right="2223"/>
              <w:jc w:val="center"/>
              <w:rPr>
                <w:b/>
                <w:sz w:val="12"/>
              </w:rPr>
            </w:pPr>
            <w:r>
              <w:rPr>
                <w:b/>
                <w:color w:val="F9D1E3"/>
                <w:spacing w:val="-2"/>
                <w:w w:val="105"/>
                <w:sz w:val="12"/>
              </w:rPr>
              <w:t>Comparativo</w:t>
            </w:r>
            <w:r>
              <w:rPr>
                <w:b/>
                <w:color w:val="F9D1E3"/>
                <w:spacing w:val="-1"/>
                <w:sz w:val="12"/>
              </w:rPr>
              <w:t> </w:t>
            </w:r>
            <w:r>
              <w:rPr>
                <w:b/>
                <w:color w:val="F9D1E3"/>
                <w:spacing w:val="-2"/>
                <w:w w:val="105"/>
                <w:sz w:val="12"/>
              </w:rPr>
              <w:t>- Atividades</w:t>
            </w:r>
          </w:p>
        </w:tc>
      </w:tr>
      <w:tr>
        <w:trPr>
          <w:trHeight w:val="488" w:hRule="atLeast"/>
        </w:trPr>
        <w:tc>
          <w:tcPr>
            <w:tcW w:w="2583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line="273" w:lineRule="auto" w:before="84"/>
              <w:ind w:left="789" w:right="374" w:hanging="210"/>
              <w:jc w:val="left"/>
              <w:rPr>
                <w:b/>
                <w:sz w:val="12"/>
              </w:rPr>
            </w:pPr>
            <w:r>
              <w:rPr>
                <w:b/>
                <w:color w:val="F9D1E3"/>
                <w:spacing w:val="-4"/>
                <w:w w:val="105"/>
                <w:sz w:val="12"/>
              </w:rPr>
              <w:t>Programação</w:t>
            </w:r>
            <w:r>
              <w:rPr>
                <w:b/>
                <w:color w:val="F9D1E3"/>
                <w:spacing w:val="40"/>
                <w:w w:val="105"/>
                <w:sz w:val="12"/>
              </w:rPr>
              <w:t> </w:t>
            </w:r>
            <w:r>
              <w:rPr>
                <w:b/>
                <w:color w:val="F9D1E3"/>
                <w:spacing w:val="-4"/>
                <w:w w:val="105"/>
                <w:sz w:val="12"/>
              </w:rPr>
              <w:t>2022</w:t>
            </w:r>
          </w:p>
        </w:tc>
        <w:tc>
          <w:tcPr>
            <w:tcW w:w="1527" w:type="dxa"/>
            <w:gridSpan w:val="2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line="273" w:lineRule="auto" w:before="84"/>
              <w:ind w:left="633" w:right="332" w:hanging="276"/>
              <w:jc w:val="left"/>
              <w:rPr>
                <w:b/>
                <w:sz w:val="12"/>
              </w:rPr>
            </w:pPr>
            <w:r>
              <w:rPr>
                <w:b/>
                <w:color w:val="F9D1E3"/>
                <w:spacing w:val="-2"/>
                <w:w w:val="105"/>
                <w:sz w:val="12"/>
              </w:rPr>
              <w:t>Reprogramação</w:t>
            </w:r>
            <w:r>
              <w:rPr>
                <w:b/>
                <w:color w:val="F9D1E3"/>
                <w:spacing w:val="40"/>
                <w:w w:val="105"/>
                <w:sz w:val="12"/>
              </w:rPr>
              <w:t> </w:t>
            </w:r>
            <w:r>
              <w:rPr>
                <w:b/>
                <w:color w:val="F9D1E3"/>
                <w:spacing w:val="-4"/>
                <w:w w:val="105"/>
                <w:sz w:val="12"/>
              </w:rPr>
              <w:t>2022</w:t>
            </w:r>
          </w:p>
        </w:tc>
        <w:tc>
          <w:tcPr>
            <w:tcW w:w="1982" w:type="dxa"/>
            <w:gridSpan w:val="3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0"/>
              <w:ind w:left="752" w:right="733"/>
              <w:jc w:val="center"/>
              <w:rPr>
                <w:b/>
                <w:sz w:val="12"/>
              </w:rPr>
            </w:pPr>
            <w:r>
              <w:rPr>
                <w:b/>
                <w:color w:val="F9D1E3"/>
                <w:spacing w:val="-2"/>
                <w:w w:val="105"/>
                <w:sz w:val="12"/>
              </w:rPr>
              <w:t>Variação</w:t>
            </w:r>
          </w:p>
        </w:tc>
        <w:tc>
          <w:tcPr>
            <w:tcW w:w="449" w:type="dxa"/>
            <w:vMerge w:val="restart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80" w:right="72"/>
              <w:jc w:val="center"/>
              <w:rPr>
                <w:b/>
                <w:sz w:val="12"/>
              </w:rPr>
            </w:pPr>
            <w:r>
              <w:rPr>
                <w:b/>
                <w:color w:val="F9D1E3"/>
                <w:spacing w:val="-2"/>
                <w:w w:val="105"/>
                <w:sz w:val="12"/>
              </w:rPr>
              <w:t>Part.</w:t>
            </w:r>
          </w:p>
          <w:p>
            <w:pPr>
              <w:pStyle w:val="TableParagraph"/>
              <w:spacing w:before="21"/>
              <w:ind w:left="13"/>
              <w:jc w:val="center"/>
              <w:rPr>
                <w:b/>
                <w:sz w:val="12"/>
              </w:rPr>
            </w:pPr>
            <w:r>
              <w:rPr>
                <w:b/>
                <w:color w:val="F9D1E3"/>
                <w:w w:val="104"/>
                <w:sz w:val="12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2583" w:type="dxa"/>
            <w:vMerge/>
            <w:tcBorders>
              <w:top w:val="nil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295" w:right="285"/>
              <w:jc w:val="center"/>
              <w:rPr>
                <w:b/>
                <w:sz w:val="12"/>
              </w:rPr>
            </w:pPr>
            <w:r>
              <w:rPr>
                <w:b/>
                <w:color w:val="F9D1E3"/>
                <w:spacing w:val="-5"/>
                <w:w w:val="105"/>
                <w:sz w:val="12"/>
              </w:rPr>
              <w:t>Qde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393"/>
              <w:jc w:val="left"/>
              <w:rPr>
                <w:b/>
                <w:sz w:val="12"/>
              </w:rPr>
            </w:pPr>
            <w:r>
              <w:rPr>
                <w:b/>
                <w:color w:val="F9D1E3"/>
                <w:spacing w:val="-2"/>
                <w:w w:val="105"/>
                <w:sz w:val="12"/>
              </w:rPr>
              <w:t>Valor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154"/>
              <w:jc w:val="left"/>
              <w:rPr>
                <w:b/>
                <w:sz w:val="12"/>
              </w:rPr>
            </w:pPr>
            <w:r>
              <w:rPr>
                <w:b/>
                <w:color w:val="F9D1E3"/>
                <w:spacing w:val="-5"/>
                <w:w w:val="105"/>
                <w:sz w:val="12"/>
              </w:rPr>
              <w:t>Qde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393"/>
              <w:jc w:val="left"/>
              <w:rPr>
                <w:b/>
                <w:sz w:val="12"/>
              </w:rPr>
            </w:pPr>
            <w:r>
              <w:rPr>
                <w:b/>
                <w:color w:val="F9D1E3"/>
                <w:spacing w:val="-2"/>
                <w:w w:val="105"/>
                <w:sz w:val="12"/>
              </w:rPr>
              <w:t>Valor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100"/>
              <w:rPr>
                <w:b/>
                <w:sz w:val="12"/>
              </w:rPr>
            </w:pPr>
            <w:r>
              <w:rPr>
                <w:b/>
                <w:color w:val="F9D1E3"/>
                <w:spacing w:val="-5"/>
                <w:w w:val="105"/>
                <w:sz w:val="12"/>
              </w:rPr>
              <w:t>Qde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393"/>
              <w:jc w:val="left"/>
              <w:rPr>
                <w:b/>
                <w:sz w:val="12"/>
              </w:rPr>
            </w:pPr>
            <w:r>
              <w:rPr>
                <w:b/>
                <w:color w:val="F9D1E3"/>
                <w:spacing w:val="-2"/>
                <w:w w:val="105"/>
                <w:sz w:val="12"/>
              </w:rPr>
              <w:t>Valor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13"/>
              <w:jc w:val="center"/>
              <w:rPr>
                <w:b/>
                <w:sz w:val="12"/>
              </w:rPr>
            </w:pPr>
            <w:r>
              <w:rPr>
                <w:b/>
                <w:color w:val="F9D1E3"/>
                <w:w w:val="104"/>
                <w:sz w:val="12"/>
              </w:rPr>
              <w:t>%</w:t>
            </w:r>
          </w:p>
        </w:tc>
        <w:tc>
          <w:tcPr>
            <w:tcW w:w="449" w:type="dxa"/>
            <w:vMerge/>
            <w:tcBorders>
              <w:top w:val="nil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4"/>
                <w:w w:val="105"/>
                <w:sz w:val="12"/>
              </w:rPr>
              <w:t>Norte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62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7.580.129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64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8.260.471,11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2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680.342,52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5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9,0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3,7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Nordeste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77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17.125.800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82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18.547.448,48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5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1.421.648,40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5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8,3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8,3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Sudeste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7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128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69.645.953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128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71.197.727,75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1.551.774,26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5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2,2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31,8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Sul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73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34.455.684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75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37.726.033,63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2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3.270.349,68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5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9,5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16,8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z w:val="12"/>
              </w:rPr>
              <w:t>Centro-</w:t>
            </w:r>
            <w:r>
              <w:rPr>
                <w:color w:val="602041"/>
                <w:spacing w:val="-2"/>
                <w:sz w:val="12"/>
              </w:rPr>
              <w:t>Oeste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47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13.877.944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47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16.194.346,75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2.316.402,53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231"/>
              <w:jc w:val="left"/>
              <w:rPr>
                <w:sz w:val="12"/>
              </w:rPr>
            </w:pPr>
            <w:r>
              <w:rPr>
                <w:color w:val="602041"/>
                <w:spacing w:val="-4"/>
                <w:w w:val="105"/>
                <w:sz w:val="12"/>
              </w:rPr>
              <w:t>16,7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7,2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21"/>
              <w:jc w:val="left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Soma</w:t>
            </w:r>
            <w:r>
              <w:rPr>
                <w:b/>
                <w:color w:val="EBC5D9"/>
                <w:w w:val="105"/>
                <w:sz w:val="12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2"/>
              </w:rPr>
              <w:t>CAU/UF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387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142.685.510,32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4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396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8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151.926.027,72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6"/>
              <w:rPr>
                <w:b/>
                <w:sz w:val="12"/>
              </w:rPr>
            </w:pPr>
            <w:r>
              <w:rPr>
                <w:b/>
                <w:color w:val="EBC5D9"/>
                <w:w w:val="104"/>
                <w:sz w:val="12"/>
              </w:rPr>
              <w:t>9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9.240.517,39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6,5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4"/>
                <w:w w:val="105"/>
                <w:sz w:val="12"/>
              </w:rPr>
              <w:t>67,8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F9D1E3"/>
                <w:spacing w:val="-2"/>
                <w:w w:val="105"/>
                <w:sz w:val="12"/>
              </w:rPr>
              <w:t>CAU/BR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40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52.617.331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39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54.696.922,21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(1)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2.079.590,78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4,0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24,4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21"/>
              <w:jc w:val="left"/>
              <w:rPr>
                <w:b/>
                <w:sz w:val="12"/>
              </w:rPr>
            </w:pPr>
            <w:r>
              <w:rPr>
                <w:b/>
                <w:color w:val="EBC5D9"/>
                <w:sz w:val="12"/>
              </w:rPr>
              <w:t>Total</w:t>
            </w:r>
            <w:r>
              <w:rPr>
                <w:b/>
                <w:color w:val="EBC5D9"/>
                <w:spacing w:val="4"/>
                <w:sz w:val="12"/>
              </w:rPr>
              <w:t> </w:t>
            </w:r>
            <w:r>
              <w:rPr>
                <w:b/>
                <w:color w:val="EBC5D9"/>
                <w:sz w:val="12"/>
              </w:rPr>
              <w:t>Programação</w:t>
            </w:r>
            <w:r>
              <w:rPr>
                <w:b/>
                <w:color w:val="EBC5D9"/>
                <w:spacing w:val="3"/>
                <w:sz w:val="12"/>
              </w:rPr>
              <w:t> </w:t>
            </w:r>
            <w:r>
              <w:rPr>
                <w:b/>
                <w:color w:val="EBC5D9"/>
                <w:spacing w:val="-2"/>
                <w:sz w:val="12"/>
              </w:rPr>
              <w:t>Operacional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427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195.302.841,75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4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435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8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206.622.949,92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6"/>
              <w:rPr>
                <w:b/>
                <w:sz w:val="12"/>
              </w:rPr>
            </w:pPr>
            <w:r>
              <w:rPr>
                <w:b/>
                <w:color w:val="EBC5D9"/>
                <w:w w:val="104"/>
                <w:sz w:val="12"/>
              </w:rPr>
              <w:t>8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8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11.320.108,17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5,8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4"/>
                <w:w w:val="105"/>
                <w:sz w:val="12"/>
              </w:rPr>
              <w:t>92,2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21"/>
              <w:jc w:val="left"/>
              <w:rPr>
                <w:b/>
                <w:sz w:val="12"/>
              </w:rPr>
            </w:pPr>
            <w:r>
              <w:rPr>
                <w:b/>
                <w:color w:val="EBC5D9"/>
                <w:w w:val="105"/>
                <w:sz w:val="12"/>
              </w:rPr>
              <w:t>Aporte</w:t>
            </w:r>
            <w:r>
              <w:rPr>
                <w:b/>
                <w:color w:val="EBC5D9"/>
                <w:spacing w:val="-7"/>
                <w:w w:val="105"/>
                <w:sz w:val="12"/>
              </w:rPr>
              <w:t> </w:t>
            </w:r>
            <w:r>
              <w:rPr>
                <w:b/>
                <w:color w:val="EBC5D9"/>
                <w:w w:val="105"/>
                <w:sz w:val="12"/>
              </w:rPr>
              <w:t>ao</w:t>
            </w:r>
            <w:r>
              <w:rPr>
                <w:b/>
                <w:color w:val="EBC5D9"/>
                <w:spacing w:val="-7"/>
                <w:w w:val="105"/>
                <w:sz w:val="12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2"/>
              </w:rPr>
              <w:t>Fundo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4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28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3.182.913,79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4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28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2.853.594,59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44"/>
              <w:jc w:val="center"/>
              <w:rPr>
                <w:b/>
                <w:sz w:val="12"/>
              </w:rPr>
            </w:pPr>
            <w:r>
              <w:rPr>
                <w:b/>
                <w:color w:val="EBC5D9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6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(329.319,20)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(10,3)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1,3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4"/>
                <w:w w:val="105"/>
                <w:sz w:val="12"/>
              </w:rPr>
              <w:t>Norte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124.692,69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101.770,44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(22.922,25)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(18,4)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23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0,0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Nordeste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9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342.401,61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9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275.361,76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(67.039,85)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(19,6)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23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0,1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Sudeste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1.024.902,10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1.149.572,33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124.670,23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5"/>
              <w:rPr>
                <w:sz w:val="12"/>
              </w:rPr>
            </w:pPr>
            <w:r>
              <w:rPr>
                <w:color w:val="602041"/>
                <w:spacing w:val="-4"/>
                <w:w w:val="105"/>
                <w:sz w:val="12"/>
              </w:rPr>
              <w:t>12,2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23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0,5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Sul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3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665.498,63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3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519.433,59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(146.065,04)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(21,9)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23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0,2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z w:val="12"/>
              </w:rPr>
              <w:t>Centro-</w:t>
            </w:r>
            <w:r>
              <w:rPr>
                <w:color w:val="602041"/>
                <w:spacing w:val="-2"/>
                <w:sz w:val="12"/>
              </w:rPr>
              <w:t>Oeste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297.299,48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236.737,56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(60.561,92)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(20,4)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23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0,1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CAU/BR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1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728.119,28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1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570.718,91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(157.400,37)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(21,6)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23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0,3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21"/>
              <w:jc w:val="left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Centro</w:t>
            </w:r>
            <w:r>
              <w:rPr>
                <w:b/>
                <w:color w:val="EBC5D9"/>
                <w:w w:val="105"/>
                <w:sz w:val="12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2"/>
              </w:rPr>
              <w:t>de</w:t>
            </w:r>
            <w:r>
              <w:rPr>
                <w:b/>
                <w:color w:val="EBC5D9"/>
                <w:spacing w:val="6"/>
                <w:w w:val="105"/>
                <w:sz w:val="12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2"/>
              </w:rPr>
              <w:t>Serviço</w:t>
            </w:r>
            <w:r>
              <w:rPr>
                <w:b/>
                <w:color w:val="EBC5D9"/>
                <w:spacing w:val="1"/>
                <w:w w:val="105"/>
                <w:sz w:val="12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2"/>
              </w:rPr>
              <w:t>Compartilhado</w:t>
            </w:r>
            <w:r>
              <w:rPr>
                <w:b/>
                <w:color w:val="EBC5D9"/>
                <w:w w:val="105"/>
                <w:sz w:val="12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2"/>
              </w:rPr>
              <w:t>-</w:t>
            </w:r>
            <w:r>
              <w:rPr>
                <w:b/>
                <w:color w:val="EBC5D9"/>
                <w:spacing w:val="1"/>
                <w:w w:val="105"/>
                <w:sz w:val="12"/>
              </w:rPr>
              <w:t> </w:t>
            </w:r>
            <w:r>
              <w:rPr>
                <w:b/>
                <w:color w:val="EBC5D9"/>
                <w:spacing w:val="-5"/>
                <w:w w:val="105"/>
                <w:sz w:val="12"/>
              </w:rPr>
              <w:t>CSC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4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27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13.561.410,95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4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27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8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13.194.599,85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44"/>
              <w:jc w:val="center"/>
              <w:rPr>
                <w:b/>
                <w:sz w:val="12"/>
              </w:rPr>
            </w:pPr>
            <w:r>
              <w:rPr>
                <w:b/>
                <w:color w:val="EBC5D9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6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(366.811,10)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6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(2,7)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5,9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4"/>
                <w:w w:val="105"/>
                <w:sz w:val="12"/>
              </w:rPr>
              <w:t>Norte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600.622,40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584.463,10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(16.159,30)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(2,7)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0,3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Nordeste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9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1.652.289,39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9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1.585.372,77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(66.916,62)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(4,0)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0,7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Sudeste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6.657.402,99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6.667.048,53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9.645,54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5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0,1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3,0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Sul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3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3.212.094,71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3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2.990.501,53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(221.593,18)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(6,9)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1,3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z w:val="12"/>
              </w:rPr>
              <w:t>Centro-</w:t>
            </w:r>
            <w:r>
              <w:rPr>
                <w:color w:val="602041"/>
                <w:spacing w:val="-2"/>
                <w:sz w:val="12"/>
              </w:rPr>
              <w:t>Oeste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1.439.001,45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1.367.213,92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(71.787,53)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(5,0)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0,6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CAU/BR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67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67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304"/>
              <w:jc w:val="left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67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67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96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102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21"/>
              <w:jc w:val="left"/>
              <w:rPr>
                <w:b/>
                <w:sz w:val="12"/>
              </w:rPr>
            </w:pPr>
            <w:r>
              <w:rPr>
                <w:b/>
                <w:color w:val="EBC5D9"/>
                <w:w w:val="105"/>
                <w:sz w:val="12"/>
              </w:rPr>
              <w:t>Reserva</w:t>
            </w:r>
            <w:r>
              <w:rPr>
                <w:b/>
                <w:color w:val="EBC5D9"/>
                <w:spacing w:val="-6"/>
                <w:w w:val="105"/>
                <w:sz w:val="12"/>
              </w:rPr>
              <w:t> </w:t>
            </w:r>
            <w:r>
              <w:rPr>
                <w:b/>
                <w:color w:val="EBC5D9"/>
                <w:w w:val="105"/>
                <w:sz w:val="12"/>
              </w:rPr>
              <w:t>de</w:t>
            </w:r>
            <w:r>
              <w:rPr>
                <w:b/>
                <w:color w:val="EBC5D9"/>
                <w:spacing w:val="-1"/>
                <w:w w:val="105"/>
                <w:sz w:val="12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2"/>
              </w:rPr>
              <w:t>Contingência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4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25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1.007.262,31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4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23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1.410.301,01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(2)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403.038,71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4"/>
                <w:w w:val="105"/>
                <w:sz w:val="12"/>
              </w:rPr>
              <w:t>40,0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0,6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4"/>
                <w:w w:val="105"/>
                <w:sz w:val="12"/>
              </w:rPr>
              <w:t>Norte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5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98.600,98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3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53.786,00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(2)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(44.814,98)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(45,5)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0,0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Nordeste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9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126.508,76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9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182.295,15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55.786,39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231"/>
              <w:jc w:val="left"/>
              <w:rPr>
                <w:sz w:val="12"/>
              </w:rPr>
            </w:pPr>
            <w:r>
              <w:rPr>
                <w:color w:val="602041"/>
                <w:spacing w:val="-4"/>
                <w:w w:val="105"/>
                <w:sz w:val="12"/>
              </w:rPr>
              <w:t>44,1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0,1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Sudeste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403.861,70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330.861,70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(73.000,00)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(18,1)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0,1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Sul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2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245.048,24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2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438.000,00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192.951,76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231"/>
              <w:jc w:val="left"/>
              <w:rPr>
                <w:sz w:val="12"/>
              </w:rPr>
            </w:pPr>
            <w:r>
              <w:rPr>
                <w:color w:val="602041"/>
                <w:spacing w:val="-4"/>
                <w:w w:val="105"/>
                <w:sz w:val="12"/>
              </w:rPr>
              <w:t>78,7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0,2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z w:val="12"/>
              </w:rPr>
              <w:t>Centro-</w:t>
            </w:r>
            <w:r>
              <w:rPr>
                <w:color w:val="602041"/>
                <w:spacing w:val="-2"/>
                <w:sz w:val="12"/>
              </w:rPr>
              <w:t>Oeste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117.496,51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4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145.844,40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28.347,89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231"/>
              <w:jc w:val="left"/>
              <w:rPr>
                <w:sz w:val="12"/>
              </w:rPr>
            </w:pPr>
            <w:r>
              <w:rPr>
                <w:color w:val="602041"/>
                <w:spacing w:val="-4"/>
                <w:w w:val="105"/>
                <w:sz w:val="12"/>
              </w:rPr>
              <w:t>24,1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0,1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CAU/BR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39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1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15.746,11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1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259.513,76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left="56"/>
              <w:jc w:val="center"/>
              <w:rPr>
                <w:sz w:val="12"/>
              </w:rPr>
            </w:pPr>
            <w:r>
              <w:rPr>
                <w:color w:val="602041"/>
                <w:w w:val="104"/>
                <w:sz w:val="12"/>
              </w:rPr>
              <w:t>-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1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243.767,65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ind w:right="47"/>
              <w:rPr>
                <w:sz w:val="12"/>
              </w:rPr>
            </w:pPr>
            <w:r>
              <w:rPr>
                <w:color w:val="602041"/>
                <w:spacing w:val="-2"/>
                <w:w w:val="105"/>
                <w:sz w:val="12"/>
              </w:rPr>
              <w:t>1.548,1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F9D1E3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602041"/>
                <w:spacing w:val="-5"/>
                <w:w w:val="105"/>
                <w:sz w:val="12"/>
              </w:rPr>
              <w:t>0,1</w:t>
            </w:r>
          </w:p>
        </w:tc>
      </w:tr>
      <w:tr>
        <w:trPr>
          <w:trHeight w:val="224" w:hRule="atLeast"/>
        </w:trPr>
        <w:tc>
          <w:tcPr>
            <w:tcW w:w="2583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left="21"/>
              <w:jc w:val="left"/>
              <w:rPr>
                <w:b/>
                <w:sz w:val="12"/>
              </w:rPr>
            </w:pPr>
            <w:r>
              <w:rPr>
                <w:b/>
                <w:color w:val="EBC5D9"/>
                <w:sz w:val="12"/>
              </w:rPr>
              <w:t>Programação</w:t>
            </w:r>
            <w:r>
              <w:rPr>
                <w:b/>
                <w:color w:val="EBC5D9"/>
                <w:spacing w:val="6"/>
                <w:sz w:val="12"/>
              </w:rPr>
              <w:t> </w:t>
            </w:r>
            <w:r>
              <w:rPr>
                <w:b/>
                <w:color w:val="EBC5D9"/>
                <w:spacing w:val="-2"/>
                <w:sz w:val="12"/>
              </w:rPr>
              <w:t>Total</w:t>
            </w:r>
          </w:p>
        </w:tc>
        <w:tc>
          <w:tcPr>
            <w:tcW w:w="838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507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7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213.054.428,79</w:t>
            </w:r>
          </w:p>
        </w:tc>
        <w:tc>
          <w:tcPr>
            <w:tcW w:w="527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4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513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8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224.081.445,38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6"/>
              <w:rPr>
                <w:b/>
                <w:sz w:val="12"/>
              </w:rPr>
            </w:pPr>
            <w:r>
              <w:rPr>
                <w:b/>
                <w:color w:val="EBC5D9"/>
                <w:w w:val="104"/>
                <w:sz w:val="12"/>
              </w:rPr>
              <w:t>6</w:t>
            </w:r>
          </w:p>
        </w:tc>
        <w:tc>
          <w:tcPr>
            <w:tcW w:w="100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48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11.027.016,58</w:t>
            </w:r>
          </w:p>
        </w:tc>
        <w:tc>
          <w:tcPr>
            <w:tcW w:w="533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5"/>
                <w:w w:val="105"/>
                <w:sz w:val="12"/>
              </w:rPr>
              <w:t>5,2</w:t>
            </w:r>
          </w:p>
        </w:tc>
        <w:tc>
          <w:tcPr>
            <w:tcW w:w="449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  <w:shd w:val="clear" w:color="auto" w:fill="602041"/>
          </w:tcPr>
          <w:p>
            <w:pPr>
              <w:pStyle w:val="TableParagraph"/>
              <w:ind w:right="5"/>
              <w:rPr>
                <w:b/>
                <w:sz w:val="12"/>
              </w:rPr>
            </w:pPr>
            <w:r>
              <w:rPr>
                <w:b/>
                <w:color w:val="EBC5D9"/>
                <w:spacing w:val="-2"/>
                <w:w w:val="105"/>
                <w:sz w:val="12"/>
              </w:rPr>
              <w:t>100,0</w:t>
            </w:r>
          </w:p>
        </w:tc>
      </w:tr>
    </w:tbl>
    <w:p>
      <w:pPr>
        <w:spacing w:before="14"/>
        <w:ind w:left="118" w:right="0" w:firstLine="0"/>
        <w:jc w:val="left"/>
        <w:rPr>
          <w:sz w:val="18"/>
        </w:rPr>
      </w:pPr>
      <w:r>
        <w:rPr/>
        <w:pict>
          <v:shape style="position:absolute;margin-left:132.75pt;margin-top:.598018pt;width:.3pt;height:.3pt;mso-position-horizontal-relative:page;mso-position-vertical-relative:paragraph;z-index:15730176" id="docshape18" coordorigin="2655,12" coordsize="6,6" path="m2655,15l2656,13,2658,12,2660,13,2661,15,2660,17,2658,18,2656,17,2655,15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2.761505pt;margin-top:.598018pt;width:.3pt;height:.3pt;mso-position-horizontal-relative:page;mso-position-vertical-relative:paragraph;z-index:15730688" id="docshape19" coordorigin="9055,12" coordsize="6,6" path="m9055,15l9056,13,9058,12,9060,13,9061,15,9060,17,9058,18,9056,17,9055,15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2.750031pt;margin-top:.598018pt;width:.3pt;height:.3pt;mso-position-horizontal-relative:page;mso-position-vertical-relative:paragraph;z-index:15731200" id="docshape20" coordorigin="10055,12" coordsize="6,6" path="m10055,15l10056,13,10058,12,10060,13,10061,15,10060,17,10058,18,10056,17,10055,15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9.393555pt;margin-top:.598018pt;width:.3pt;height:.3pt;mso-position-horizontal-relative:page;mso-position-vertical-relative:paragraph;z-index:15731712" id="docshape21" coordorigin="10588,12" coordsize="6,6" path="m10588,15l10589,13,10591,12,10593,13,10594,15,10593,17,10591,18,10589,17,10588,15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1.848999pt;margin-top:.299332pt;width:.6pt;height:.6pt;mso-position-horizontal-relative:page;mso-position-vertical-relative:paragraph;z-index:15732224" id="docshape22" coordorigin="11037,6" coordsize="12,12" path="m11043,15l11042,13,11040,12,11038,13,11037,15,11038,17,11040,18,11042,17,11043,15xm11049,9l11048,7,11046,6,11044,7,11043,9,11044,11,11046,12,11048,11,11049,9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203.300125pt;width:.3pt;height:.3pt;mso-position-horizontal-relative:page;mso-position-vertical-relative:paragraph;z-index:15740928" id="docshape23" coordorigin="11043,-4066" coordsize="6,6" path="m11043,-4063l11044,-4065,11046,-4066,11048,-4065,11049,-4063,11048,-4061,11046,-4060,11044,-4061,11043,-4063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191.320587pt;width:.3pt;height:.3pt;mso-position-horizontal-relative:page;mso-position-vertical-relative:paragraph;z-index:15741440" id="docshape24" coordorigin="11043,-3826" coordsize="6,6" path="m11043,-3823l11044,-3826,11046,-3826,11048,-3826,11049,-3823,11048,-3821,11046,-3820,11044,-3821,11043,-3823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179.345047pt;width:.3pt;height:.3pt;mso-position-horizontal-relative:page;mso-position-vertical-relative:paragraph;z-index:15741952" id="docshape25" coordorigin="11043,-3587" coordsize="6,6" path="m11043,-3584l11044,-3586,11046,-3587,11048,-3586,11049,-3584,11048,-3582,11046,-3581,11044,-3582,11043,-3584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167.365509pt;width:.3pt;height:.3pt;mso-position-horizontal-relative:page;mso-position-vertical-relative:paragraph;z-index:15742464" id="docshape26" coordorigin="11043,-3347" coordsize="6,6" path="m11043,-3344l11044,-3346,11046,-3347,11048,-3346,11049,-3344,11048,-3342,11046,-3341,11044,-3342,11043,-3344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155.389954pt;width:.3pt;height:.3pt;mso-position-horizontal-relative:page;mso-position-vertical-relative:paragraph;z-index:15742976" id="docshape27" coordorigin="11043,-3108" coordsize="6,6" path="m11043,-3105l11044,-3107,11046,-3108,11048,-3107,11049,-3105,11048,-3103,11046,-3102,11044,-3103,11043,-3105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143.410431pt;width:.3pt;height:.3pt;mso-position-horizontal-relative:page;mso-position-vertical-relative:paragraph;z-index:15743488" id="docshape28" coordorigin="11043,-2868" coordsize="6,6" path="m11043,-2865l11044,-2867,11046,-2868,11048,-2867,11049,-2865,11048,-2863,11046,-2862,11044,-2863,11043,-2865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131.442856pt;width:.3pt;height:.3pt;mso-position-horizontal-relative:page;mso-position-vertical-relative:paragraph;z-index:15744000" id="docshape29" coordorigin="11043,-2629" coordsize="6,6" path="m11043,-2626l11044,-2628,11046,-2629,11048,-2628,11049,-2626,11048,-2624,11046,-2623,11044,-2624,11043,-2626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119.467308pt;width:.3pt;height:.3pt;mso-position-horizontal-relative:page;mso-position-vertical-relative:paragraph;z-index:15744512" id="docshape30" coordorigin="11043,-2389" coordsize="6,6" path="m11043,-2386l11044,-2388,11046,-2389,11048,-2388,11049,-2386,11048,-2384,11046,-2383,11044,-2384,11043,-2386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107.48777pt;width:.3pt;height:.3pt;mso-position-horizontal-relative:page;mso-position-vertical-relative:paragraph;z-index:15745024" id="docshape31" coordorigin="11043,-2150" coordsize="6,6" path="m11043,-2147l11044,-2149,11046,-2150,11048,-2149,11049,-2147,11048,-2145,11046,-2144,11044,-2145,11043,-2147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95.512222pt;width:.3pt;height:.3pt;mso-position-horizontal-relative:page;mso-position-vertical-relative:paragraph;z-index:15745536" id="docshape32" coordorigin="11043,-1910" coordsize="6,6" path="m11043,-1907l11044,-1909,11046,-1910,11048,-1909,11049,-1907,11048,-1905,11046,-1904,11044,-1905,11043,-1907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83.532684pt;width:.3pt;height:.3pt;mso-position-horizontal-relative:page;mso-position-vertical-relative:paragraph;z-index:15746048" id="docshape33" coordorigin="11043,-1671" coordsize="6,6" path="m11043,-1668l11044,-1670,11046,-1671,11048,-1670,11049,-1668,11048,-1666,11046,-1665,11044,-1666,11043,-1668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71.557137pt;width:.3pt;height:.3pt;mso-position-horizontal-relative:page;mso-position-vertical-relative:paragraph;z-index:15746560" id="docshape34" coordorigin="11043,-1431" coordsize="6,6" path="m11043,-1428l11044,-1430,11046,-1431,11048,-1430,11049,-1428,11048,-1426,11046,-1425,11044,-1426,11043,-1428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59.577599pt;width:.3pt;height:.3pt;mso-position-horizontal-relative:page;mso-position-vertical-relative:paragraph;z-index:15747072" id="docshape35" coordorigin="11043,-1192" coordsize="6,6" path="m11043,-1189l11044,-1191,11046,-1192,11048,-1191,11049,-1189,11048,-1186,11046,-1186,11044,-1186,11043,-1189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47.602051pt;width:.3pt;height:.3pt;mso-position-horizontal-relative:page;mso-position-vertical-relative:paragraph;z-index:15747584" id="docshape36" coordorigin="11043,-952" coordsize="6,6" path="m11043,-949l11044,-951,11046,-952,11048,-951,11049,-949,11048,-947,11046,-946,11044,-947,11043,-949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35.633682pt;width:.3pt;height:.3pt;mso-position-horizontal-relative:page;mso-position-vertical-relative:paragraph;z-index:15748096" id="docshape37" coordorigin="11043,-713" coordsize="6,6" path="m11043,-710l11044,-712,11046,-713,11048,-712,11049,-710,11048,-708,11046,-707,11044,-708,11043,-710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23.656141pt;width:.3pt;height:.3pt;mso-position-horizontal-relative:page;mso-position-vertical-relative:paragraph;z-index:15748608" id="docshape38" coordorigin="11043,-473" coordsize="6,6" path="m11043,-470l11044,-472,11046,-473,11048,-472,11049,-470,11048,-468,11046,-467,11044,-468,11043,-470xe" filled="true" fillcolor="#d3d3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148254pt;margin-top:-11.678597pt;width:.3pt;height:.3pt;mso-position-horizontal-relative:page;mso-position-vertical-relative:paragraph;z-index:15749120" id="docshape39" coordorigin="11043,-234" coordsize="6,6" path="m11043,-231l11044,-233,11046,-234,11048,-233,11049,-231,11048,-228,11046,-228,11044,-228,11043,-231xe" filled="true" fillcolor="#d3d3d3" stroked="false">
            <v:path arrowok="t"/>
            <v:fill type="solid"/>
            <w10:wrap type="none"/>
          </v:shape>
        </w:pict>
      </w:r>
      <w:r>
        <w:rPr>
          <w:sz w:val="18"/>
        </w:rPr>
        <w:t>Os</w:t>
      </w:r>
      <w:r>
        <w:rPr>
          <w:spacing w:val="-3"/>
          <w:sz w:val="18"/>
        </w:rPr>
        <w:t> </w:t>
      </w:r>
      <w:r>
        <w:rPr>
          <w:sz w:val="18"/>
        </w:rPr>
        <w:t>dados</w:t>
      </w:r>
      <w:r>
        <w:rPr>
          <w:spacing w:val="-3"/>
          <w:sz w:val="18"/>
        </w:rPr>
        <w:t> </w:t>
      </w:r>
      <w:r>
        <w:rPr>
          <w:sz w:val="18"/>
        </w:rPr>
        <w:t>dos</w:t>
      </w:r>
      <w:r>
        <w:rPr>
          <w:spacing w:val="-3"/>
          <w:sz w:val="18"/>
        </w:rPr>
        <w:t> </w:t>
      </w:r>
      <w:r>
        <w:rPr>
          <w:sz w:val="18"/>
        </w:rPr>
        <w:t>CAU/AM</w:t>
      </w:r>
      <w:r>
        <w:rPr>
          <w:spacing w:val="-3"/>
          <w:sz w:val="18"/>
        </w:rPr>
        <w:t> </w:t>
      </w:r>
      <w:r>
        <w:rPr>
          <w:sz w:val="18"/>
        </w:rPr>
        <w:t>e</w:t>
      </w:r>
      <w:r>
        <w:rPr>
          <w:spacing w:val="-3"/>
          <w:sz w:val="18"/>
        </w:rPr>
        <w:t> </w:t>
      </w:r>
      <w:r>
        <w:rPr>
          <w:sz w:val="18"/>
        </w:rPr>
        <w:t>CAU/SP,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tocante</w:t>
      </w:r>
      <w:r>
        <w:rPr>
          <w:spacing w:val="-4"/>
          <w:sz w:val="18"/>
        </w:rPr>
        <w:t> </w:t>
      </w:r>
      <w:r>
        <w:rPr>
          <w:sz w:val="18"/>
        </w:rPr>
        <w:t>à</w:t>
      </w:r>
      <w:r>
        <w:rPr>
          <w:spacing w:val="-3"/>
          <w:sz w:val="18"/>
        </w:rPr>
        <w:t> </w:t>
      </w:r>
      <w:r>
        <w:rPr>
          <w:sz w:val="18"/>
        </w:rPr>
        <w:t>Programação</w:t>
      </w:r>
      <w:r>
        <w:rPr>
          <w:spacing w:val="-4"/>
          <w:sz w:val="18"/>
        </w:rPr>
        <w:t> </w:t>
      </w:r>
      <w:r>
        <w:rPr>
          <w:sz w:val="18"/>
        </w:rPr>
        <w:t>2022,</w:t>
      </w:r>
      <w:r>
        <w:rPr>
          <w:spacing w:val="-4"/>
          <w:sz w:val="18"/>
        </w:rPr>
        <w:t> </w:t>
      </w:r>
      <w:r>
        <w:rPr>
          <w:sz w:val="18"/>
        </w:rPr>
        <w:t>estão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2"/>
          <w:sz w:val="18"/>
        </w:rPr>
        <w:t> </w:t>
      </w:r>
      <w:r>
        <w:rPr>
          <w:sz w:val="18"/>
        </w:rPr>
        <w:t>conformidade</w:t>
      </w:r>
      <w:r>
        <w:rPr>
          <w:spacing w:val="-3"/>
          <w:sz w:val="18"/>
        </w:rPr>
        <w:t> </w:t>
      </w:r>
      <w:r>
        <w:rPr>
          <w:sz w:val="18"/>
        </w:rPr>
        <w:t>com</w:t>
      </w:r>
      <w:r>
        <w:rPr>
          <w:spacing w:val="-5"/>
          <w:sz w:val="18"/>
        </w:rPr>
        <w:t> </w:t>
      </w:r>
      <w:r>
        <w:rPr>
          <w:sz w:val="18"/>
        </w:rPr>
        <w:t>as</w:t>
      </w:r>
      <w:r>
        <w:rPr>
          <w:spacing w:val="-5"/>
          <w:sz w:val="18"/>
        </w:rPr>
        <w:t> </w:t>
      </w:r>
      <w:r>
        <w:rPr>
          <w:sz w:val="18"/>
        </w:rPr>
        <w:t>propostas</w:t>
      </w:r>
      <w:r>
        <w:rPr>
          <w:spacing w:val="-3"/>
          <w:sz w:val="18"/>
        </w:rPr>
        <w:t> </w:t>
      </w:r>
      <w:r>
        <w:rPr>
          <w:sz w:val="18"/>
        </w:rPr>
        <w:t>das</w:t>
      </w:r>
      <w:r>
        <w:rPr>
          <w:spacing w:val="80"/>
          <w:w w:val="150"/>
          <w:sz w:val="18"/>
        </w:rPr>
        <w:t> </w:t>
      </w:r>
      <w:r>
        <w:rPr>
          <w:sz w:val="18"/>
        </w:rPr>
        <w:t>Reprogramações Extraordinárias aprovadas para esses CAU/UF, uma vez que ocorreram em data anterior à Reprogramação Ordinária.</w:t>
      </w:r>
    </w:p>
    <w:p>
      <w:pPr>
        <w:spacing w:after="0"/>
        <w:jc w:val="left"/>
        <w:rPr>
          <w:sz w:val="18"/>
        </w:rPr>
        <w:sectPr>
          <w:pgSz w:w="11910" w:h="16840"/>
          <w:pgMar w:header="689" w:footer="261" w:top="1580" w:bottom="460" w:left="1300" w:right="680"/>
        </w:sectPr>
      </w:pPr>
    </w:p>
    <w:p>
      <w:pPr>
        <w:pStyle w:val="Heading3"/>
        <w:numPr>
          <w:ilvl w:val="0"/>
          <w:numId w:val="2"/>
        </w:numPr>
        <w:tabs>
          <w:tab w:pos="1250" w:val="left" w:leader="none"/>
        </w:tabs>
        <w:spacing w:line="240" w:lineRule="auto" w:before="14" w:after="0"/>
        <w:ind w:left="1249" w:right="0" w:hanging="280"/>
        <w:jc w:val="left"/>
      </w:pPr>
      <w:bookmarkStart w:name="_bookmark12" w:id="13"/>
      <w:bookmarkEnd w:id="13"/>
      <w:r>
        <w:rPr>
          <w:color w:val="602041"/>
        </w:rPr>
        <w:t>AP</w:t>
      </w:r>
      <w:r>
        <w:rPr>
          <w:color w:val="602041"/>
        </w:rPr>
        <w:t>LICAÇÃO</w:t>
      </w:r>
      <w:r>
        <w:rPr>
          <w:color w:val="602041"/>
          <w:spacing w:val="-7"/>
        </w:rPr>
        <w:t> </w:t>
      </w:r>
      <w:r>
        <w:rPr>
          <w:color w:val="602041"/>
        </w:rPr>
        <w:t>DOS</w:t>
      </w:r>
      <w:r>
        <w:rPr>
          <w:color w:val="602041"/>
          <w:spacing w:val="-5"/>
        </w:rPr>
        <w:t> </w:t>
      </w:r>
      <w:r>
        <w:rPr>
          <w:color w:val="602041"/>
        </w:rPr>
        <w:t>RECURSOS</w:t>
      </w:r>
      <w:r>
        <w:rPr>
          <w:color w:val="602041"/>
          <w:spacing w:val="-6"/>
        </w:rPr>
        <w:t> </w:t>
      </w:r>
      <w:r>
        <w:rPr>
          <w:color w:val="602041"/>
        </w:rPr>
        <w:t>POR</w:t>
      </w:r>
      <w:r>
        <w:rPr>
          <w:color w:val="602041"/>
          <w:spacing w:val="-5"/>
        </w:rPr>
        <w:t> </w:t>
      </w:r>
      <w:r>
        <w:rPr>
          <w:color w:val="602041"/>
        </w:rPr>
        <w:t>OBJETIVOS</w:t>
      </w:r>
      <w:r>
        <w:rPr>
          <w:color w:val="602041"/>
          <w:spacing w:val="-5"/>
        </w:rPr>
        <w:t> </w:t>
      </w:r>
      <w:r>
        <w:rPr>
          <w:color w:val="602041"/>
          <w:spacing w:val="-2"/>
        </w:rPr>
        <w:t>ESTRATÉGICOS.</w:t>
      </w:r>
    </w:p>
    <w:p>
      <w:pPr>
        <w:pStyle w:val="BodyText"/>
        <w:rPr>
          <w:b/>
          <w:sz w:val="27"/>
        </w:rPr>
      </w:pPr>
    </w:p>
    <w:p>
      <w:pPr>
        <w:spacing w:line="360" w:lineRule="auto" w:before="0"/>
        <w:ind w:left="118" w:right="165" w:firstLine="851"/>
        <w:jc w:val="both"/>
        <w:rPr>
          <w:sz w:val="24"/>
        </w:rPr>
      </w:pPr>
      <w:r>
        <w:rPr>
          <w:sz w:val="24"/>
        </w:rPr>
        <w:t>Quanto à destinação de recursos estratégicos, observando os limites estabelecidos nas Diretrizes da Reprogramação do Plano de Ação 2022, com base na receita de arrecadação líquida total</w:t>
      </w:r>
      <w:r>
        <w:rPr>
          <w:spacing w:val="-1"/>
          <w:sz w:val="24"/>
        </w:rPr>
        <w:t> </w:t>
      </w:r>
      <w:r>
        <w:rPr>
          <w:sz w:val="24"/>
        </w:rPr>
        <w:t>(RAL), de R$</w:t>
      </w:r>
      <w:r>
        <w:rPr>
          <w:spacing w:val="-1"/>
          <w:sz w:val="24"/>
        </w:rPr>
        <w:t> </w:t>
      </w:r>
      <w:r>
        <w:rPr>
          <w:sz w:val="24"/>
        </w:rPr>
        <w:t>210,16 milhões,</w:t>
      </w:r>
      <w:r>
        <w:rPr>
          <w:spacing w:val="-2"/>
          <w:sz w:val="24"/>
        </w:rPr>
        <w:t> </w:t>
      </w:r>
      <w:r>
        <w:rPr>
          <w:sz w:val="24"/>
        </w:rPr>
        <w:t>o CAU</w:t>
      </w:r>
      <w:r>
        <w:rPr>
          <w:spacing w:val="-2"/>
          <w:sz w:val="24"/>
        </w:rPr>
        <w:t> </w:t>
      </w:r>
      <w:r>
        <w:rPr>
          <w:sz w:val="24"/>
        </w:rPr>
        <w:t>atende</w:t>
      </w:r>
      <w:r>
        <w:rPr>
          <w:spacing w:val="-4"/>
          <w:sz w:val="24"/>
        </w:rPr>
        <w:t> </w:t>
      </w:r>
      <w:r>
        <w:rPr>
          <w:sz w:val="24"/>
        </w:rPr>
        <w:t>os respectivos</w:t>
      </w:r>
      <w:r>
        <w:rPr>
          <w:spacing w:val="-2"/>
          <w:sz w:val="24"/>
        </w:rPr>
        <w:t> </w:t>
      </w:r>
      <w:r>
        <w:rPr>
          <w:sz w:val="24"/>
        </w:rPr>
        <w:t>percentuais e</w:t>
      </w:r>
      <w:r>
        <w:rPr>
          <w:spacing w:val="-1"/>
          <w:sz w:val="24"/>
        </w:rPr>
        <w:t> </w:t>
      </w:r>
      <w:r>
        <w:rPr>
          <w:sz w:val="24"/>
        </w:rPr>
        <w:t>valores,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segue: </w:t>
      </w:r>
      <w:r>
        <w:rPr>
          <w:b/>
          <w:sz w:val="24"/>
        </w:rPr>
        <w:t>Fiscalização </w:t>
      </w:r>
      <w:r>
        <w:rPr>
          <w:sz w:val="24"/>
        </w:rPr>
        <w:t>com </w:t>
      </w:r>
      <w:r>
        <w:rPr>
          <w:b/>
          <w:sz w:val="24"/>
        </w:rPr>
        <w:t>29,4% </w:t>
      </w:r>
      <w:r>
        <w:rPr>
          <w:sz w:val="24"/>
        </w:rPr>
        <w:t>da RAL, ou R$ 61,89 milhões; </w:t>
      </w:r>
      <w:r>
        <w:rPr>
          <w:b/>
          <w:sz w:val="24"/>
        </w:rPr>
        <w:t>Atendimento </w:t>
      </w:r>
      <w:r>
        <w:rPr>
          <w:sz w:val="24"/>
        </w:rPr>
        <w:t>com </w:t>
      </w:r>
      <w:r>
        <w:rPr>
          <w:b/>
          <w:sz w:val="24"/>
        </w:rPr>
        <w:t>16,9%</w:t>
      </w:r>
      <w:r>
        <w:rPr>
          <w:sz w:val="24"/>
        </w:rPr>
        <w:t>, ou</w:t>
      </w:r>
      <w:r>
        <w:rPr>
          <w:spacing w:val="40"/>
          <w:sz w:val="24"/>
        </w:rPr>
        <w:t> </w:t>
      </w:r>
      <w:r>
        <w:rPr>
          <w:sz w:val="24"/>
        </w:rPr>
        <w:t>R$ 35,54 milhões;</w:t>
      </w:r>
      <w:r>
        <w:rPr>
          <w:spacing w:val="-2"/>
          <w:sz w:val="24"/>
        </w:rPr>
        <w:t> </w:t>
      </w:r>
      <w:r>
        <w:rPr>
          <w:b/>
          <w:sz w:val="24"/>
        </w:rPr>
        <w:t>Comunicação </w:t>
      </w:r>
      <w:r>
        <w:rPr>
          <w:sz w:val="24"/>
        </w:rPr>
        <w:t>com </w:t>
      </w:r>
      <w:r>
        <w:rPr>
          <w:b/>
          <w:sz w:val="24"/>
        </w:rPr>
        <w:t>8,3%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ou R$</w:t>
      </w:r>
      <w:r>
        <w:rPr>
          <w:spacing w:val="-3"/>
          <w:sz w:val="24"/>
        </w:rPr>
        <w:t> </w:t>
      </w:r>
      <w:r>
        <w:rPr>
          <w:sz w:val="24"/>
        </w:rPr>
        <w:t>17,50</w:t>
      </w:r>
      <w:r>
        <w:rPr>
          <w:spacing w:val="-2"/>
          <w:sz w:val="24"/>
        </w:rPr>
        <w:t> </w:t>
      </w:r>
      <w:r>
        <w:rPr>
          <w:sz w:val="24"/>
        </w:rPr>
        <w:t>milhões;</w:t>
      </w:r>
      <w:r>
        <w:rPr>
          <w:spacing w:val="-1"/>
          <w:sz w:val="24"/>
        </w:rPr>
        <w:t> </w:t>
      </w:r>
      <w:r>
        <w:rPr>
          <w:b/>
          <w:sz w:val="24"/>
        </w:rPr>
        <w:t>Patrocínios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b/>
          <w:sz w:val="24"/>
        </w:rPr>
        <w:t>1,5%</w:t>
      </w:r>
      <w:r>
        <w:rPr>
          <w:sz w:val="24"/>
        </w:rPr>
        <w:t>, ou R$</w:t>
      </w:r>
      <w:r>
        <w:rPr>
          <w:spacing w:val="-2"/>
          <w:sz w:val="24"/>
        </w:rPr>
        <w:t> </w:t>
      </w:r>
      <w:r>
        <w:rPr>
          <w:sz w:val="24"/>
        </w:rPr>
        <w:t>3,16 milhões; </w:t>
      </w:r>
      <w:r>
        <w:rPr>
          <w:b/>
          <w:sz w:val="24"/>
        </w:rPr>
        <w:t>Objetivos Estratégicos Locais </w:t>
      </w:r>
      <w:r>
        <w:rPr>
          <w:sz w:val="24"/>
        </w:rPr>
        <w:t>com </w:t>
      </w:r>
      <w:r>
        <w:rPr>
          <w:b/>
          <w:sz w:val="24"/>
        </w:rPr>
        <w:t>44%</w:t>
      </w:r>
      <w:r>
        <w:rPr>
          <w:sz w:val="24"/>
        </w:rPr>
        <w:t>, ou R$ 99,57 milhões, e </w:t>
      </w:r>
      <w:r>
        <w:rPr>
          <w:b/>
          <w:sz w:val="24"/>
        </w:rPr>
        <w:t>4,1% </w:t>
      </w:r>
      <w:r>
        <w:rPr>
          <w:sz w:val="24"/>
        </w:rPr>
        <w:t>ou R$ 8,54 milhões direcionados para </w:t>
      </w:r>
      <w:r>
        <w:rPr>
          <w:b/>
          <w:sz w:val="24"/>
        </w:rPr>
        <w:t>Assistência Técnica em Habitações de Interesse Social ATHIS, </w:t>
      </w:r>
      <w:r>
        <w:rPr>
          <w:sz w:val="24"/>
        </w:rPr>
        <w:t>conforme demonstrado e detalhado, por CAU/UF e CAU/BR, no Anexo 6.</w:t>
      </w:r>
    </w:p>
    <w:p>
      <w:pPr>
        <w:pStyle w:val="BodyText"/>
        <w:spacing w:line="360" w:lineRule="auto" w:before="162"/>
        <w:ind w:left="118" w:right="163" w:firstLine="851"/>
        <w:jc w:val="both"/>
      </w:pPr>
      <w:r>
        <w:rPr/>
        <w:t>Para as iniciativas em </w:t>
      </w:r>
      <w:r>
        <w:rPr>
          <w:b/>
        </w:rPr>
        <w:t>Capacitação</w:t>
      </w:r>
      <w:r>
        <w:rPr/>
        <w:t>, de conselheiros e do corpo funcional do CAU, são destinados </w:t>
      </w:r>
      <w:r>
        <w:rPr>
          <w:b/>
        </w:rPr>
        <w:t>2,1%</w:t>
      </w:r>
      <w:r>
        <w:rPr/>
        <w:t>, ou R$ 2,64 milhões, considerando o total de gastos com a folha de pagamentos (salários, encargos e benefícios) de R$ 128,61 milhões, conforme demonstrado no Anexo 6.</w:t>
      </w:r>
    </w:p>
    <w:p>
      <w:pPr>
        <w:pStyle w:val="BodyText"/>
        <w:spacing w:line="360" w:lineRule="auto" w:before="160"/>
        <w:ind w:left="118" w:right="164" w:firstLine="851"/>
        <w:jc w:val="both"/>
      </w:pPr>
      <w:r>
        <w:rPr/>
        <w:t>No tocante aos limites de aplicações em </w:t>
      </w:r>
      <w:r>
        <w:rPr>
          <w:b/>
        </w:rPr>
        <w:t>Pessoal </w:t>
      </w:r>
      <w:r>
        <w:rPr/>
        <w:t>(salários e encargos), considerando que para o cálculo do índice não são considerados os valores destinados a rescisões contratuais e benefícios concedidos (totalizando R$ 19,09 milhões), estão sendo destinados recursos no montante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R$</w:t>
      </w:r>
      <w:r>
        <w:rPr>
          <w:spacing w:val="-9"/>
        </w:rPr>
        <w:t> </w:t>
      </w:r>
      <w:r>
        <w:rPr/>
        <w:t>109,52</w:t>
      </w:r>
      <w:r>
        <w:rPr>
          <w:spacing w:val="-10"/>
        </w:rPr>
        <w:t> </w:t>
      </w:r>
      <w:r>
        <w:rPr/>
        <w:t>milhões,</w:t>
      </w:r>
      <w:r>
        <w:rPr>
          <w:spacing w:val="-11"/>
        </w:rPr>
        <w:t> </w:t>
      </w:r>
      <w:r>
        <w:rPr/>
        <w:t>ou</w:t>
      </w:r>
      <w:r>
        <w:rPr>
          <w:spacing w:val="-10"/>
        </w:rPr>
        <w:t> </w:t>
      </w:r>
      <w:r>
        <w:rPr>
          <w:b/>
        </w:rPr>
        <w:t>44,4%</w:t>
      </w:r>
      <w:r>
        <w:rPr>
          <w:b/>
          <w:spacing w:val="-10"/>
        </w:rPr>
        <w:t> </w:t>
      </w:r>
      <w:r>
        <w:rPr/>
        <w:t>das</w:t>
      </w:r>
      <w:r>
        <w:rPr>
          <w:spacing w:val="-11"/>
        </w:rPr>
        <w:t> </w:t>
      </w:r>
      <w:r>
        <w:rPr/>
        <w:t>receitas</w:t>
      </w:r>
      <w:r>
        <w:rPr>
          <w:spacing w:val="-10"/>
        </w:rPr>
        <w:t> </w:t>
      </w:r>
      <w:r>
        <w:rPr/>
        <w:t>correntes</w:t>
      </w:r>
      <w:r>
        <w:rPr>
          <w:spacing w:val="-9"/>
        </w:rPr>
        <w:t> </w:t>
      </w:r>
      <w:r>
        <w:rPr/>
        <w:t>(R$</w:t>
      </w:r>
      <w:r>
        <w:rPr>
          <w:spacing w:val="-10"/>
        </w:rPr>
        <w:t> </w:t>
      </w:r>
      <w:r>
        <w:rPr/>
        <w:t>246,44</w:t>
      </w:r>
      <w:r>
        <w:rPr>
          <w:spacing w:val="-8"/>
        </w:rPr>
        <w:t> </w:t>
      </w:r>
      <w:r>
        <w:rPr/>
        <w:t>milhões).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>
          <w:b/>
        </w:rPr>
        <w:t>Reserva de Contingência </w:t>
      </w:r>
      <w:r>
        <w:rPr/>
        <w:t>os recursos destinados são de R$ 1,41 milhão, ou </w:t>
      </w:r>
      <w:r>
        <w:rPr>
          <w:b/>
        </w:rPr>
        <w:t>0,7% </w:t>
      </w:r>
      <w:r>
        <w:rPr/>
        <w:t>da RAL, conforme demonstrados nos Anexos 5 e 6.</w:t>
      </w:r>
    </w:p>
    <w:p>
      <w:pPr>
        <w:pStyle w:val="BodyText"/>
        <w:spacing w:line="360" w:lineRule="auto" w:before="160"/>
        <w:ind w:left="118" w:right="165" w:firstLine="851"/>
        <w:jc w:val="both"/>
      </w:pPr>
      <w:r>
        <w:rPr/>
        <w:t>O </w:t>
      </w:r>
      <w:r>
        <w:rPr>
          <w:b/>
        </w:rPr>
        <w:t>CAU/BR</w:t>
      </w:r>
      <w:r>
        <w:rPr/>
        <w:t>, que contempla uma receita de arrecadação líquida no total de R$ 41,38 milhões, apresenta as destinações estratégicas dimensionadas e atendidas, da seguinte forma: </w:t>
      </w:r>
      <w:r>
        <w:rPr>
          <w:b/>
        </w:rPr>
        <w:t>Fiscalização</w:t>
      </w:r>
      <w:r>
        <w:rPr>
          <w:b/>
          <w:spacing w:val="-3"/>
        </w:rPr>
        <w:t> </w:t>
      </w:r>
      <w:r>
        <w:rPr/>
        <w:t>com</w:t>
      </w:r>
      <w:r>
        <w:rPr>
          <w:spacing w:val="-3"/>
        </w:rPr>
        <w:t> </w:t>
      </w:r>
      <w:r>
        <w:rPr>
          <w:b/>
        </w:rPr>
        <w:t>31,8</w:t>
      </w:r>
      <w:r>
        <w:rPr>
          <w:b/>
          <w:spacing w:val="-3"/>
        </w:rPr>
        <w:t> </w:t>
      </w:r>
      <w:r>
        <w:rPr/>
        <w:t>ou</w:t>
      </w:r>
      <w:r>
        <w:rPr>
          <w:spacing w:val="-5"/>
        </w:rPr>
        <w:t> </w:t>
      </w:r>
      <w:r>
        <w:rPr/>
        <w:t>R$</w:t>
      </w:r>
      <w:r>
        <w:rPr>
          <w:spacing w:val="-3"/>
        </w:rPr>
        <w:t> </w:t>
      </w:r>
      <w:r>
        <w:rPr/>
        <w:t>13,18</w:t>
      </w:r>
      <w:r>
        <w:rPr>
          <w:spacing w:val="-3"/>
        </w:rPr>
        <w:t> </w:t>
      </w:r>
      <w:r>
        <w:rPr/>
        <w:t>milhões;</w:t>
      </w:r>
      <w:r>
        <w:rPr>
          <w:spacing w:val="-5"/>
        </w:rPr>
        <w:t> </w:t>
      </w:r>
      <w:r>
        <w:rPr>
          <w:b/>
        </w:rPr>
        <w:t>Atendimento</w:t>
      </w:r>
      <w:r>
        <w:rPr>
          <w:b/>
          <w:spacing w:val="-2"/>
        </w:rPr>
        <w:t> </w:t>
      </w:r>
      <w:r>
        <w:rPr/>
        <w:t>com</w:t>
      </w:r>
      <w:r>
        <w:rPr>
          <w:spacing w:val="-5"/>
        </w:rPr>
        <w:t> </w:t>
      </w:r>
      <w:r>
        <w:rPr>
          <w:b/>
        </w:rPr>
        <w:t>14,6%</w:t>
      </w:r>
      <w:r>
        <w:rPr>
          <w:b/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R$</w:t>
      </w:r>
      <w:r>
        <w:rPr>
          <w:spacing w:val="-6"/>
        </w:rPr>
        <w:t> </w:t>
      </w:r>
      <w:r>
        <w:rPr/>
        <w:t>6,06</w:t>
      </w:r>
      <w:r>
        <w:rPr>
          <w:spacing w:val="-5"/>
        </w:rPr>
        <w:t> </w:t>
      </w:r>
      <w:r>
        <w:rPr/>
        <w:t>milhões;</w:t>
      </w:r>
      <w:r>
        <w:rPr>
          <w:spacing w:val="-3"/>
        </w:rPr>
        <w:t> </w:t>
      </w:r>
      <w:r>
        <w:rPr>
          <w:b/>
        </w:rPr>
        <w:t>13,5%</w:t>
      </w:r>
      <w:r>
        <w:rPr>
          <w:b/>
          <w:spacing w:val="-6"/>
        </w:rPr>
        <w:t> </w:t>
      </w:r>
      <w:r>
        <w:rPr/>
        <w:t>ou R$ 5,60 milhões para </w:t>
      </w:r>
      <w:r>
        <w:rPr>
          <w:b/>
        </w:rPr>
        <w:t>Comunicação</w:t>
      </w:r>
      <w:r>
        <w:rPr/>
        <w:t>; para os </w:t>
      </w:r>
      <w:r>
        <w:rPr>
          <w:b/>
        </w:rPr>
        <w:t>Objetivos Estratégicos elencados como prioritários </w:t>
      </w:r>
      <w:r>
        <w:rPr/>
        <w:t>pelo CAU/BR “Aprimorar e inovar os processos e as ações” e “Ter sistemas de informação e infraestrutura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viabilizem</w:t>
      </w:r>
      <w:r>
        <w:rPr>
          <w:spacing w:val="-1"/>
        </w:rPr>
        <w:t> </w:t>
      </w:r>
      <w:r>
        <w:rPr/>
        <w:t>a gestão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o atendimento</w:t>
      </w:r>
      <w:r>
        <w:rPr>
          <w:spacing w:val="-1"/>
        </w:rPr>
        <w:t> </w:t>
      </w:r>
      <w:r>
        <w:rPr/>
        <w:t>dos arquitetos</w:t>
      </w:r>
      <w:r>
        <w:rPr>
          <w:spacing w:val="-1"/>
        </w:rPr>
        <w:t> </w:t>
      </w:r>
      <w:r>
        <w:rPr/>
        <w:t>e urbanistas</w:t>
      </w:r>
      <w:r>
        <w:rPr>
          <w:spacing w:val="-2"/>
        </w:rPr>
        <w:t> </w:t>
      </w:r>
      <w:r>
        <w:rPr/>
        <w:t>e a</w:t>
      </w:r>
      <w:r>
        <w:rPr>
          <w:spacing w:val="-2"/>
        </w:rPr>
        <w:t> </w:t>
      </w:r>
      <w:r>
        <w:rPr/>
        <w:t>sociedade”, estão</w:t>
      </w:r>
      <w:r>
        <w:rPr>
          <w:spacing w:val="-14"/>
        </w:rPr>
        <w:t> </w:t>
      </w:r>
      <w:r>
        <w:rPr/>
        <w:t>direcionados</w:t>
      </w:r>
      <w:r>
        <w:rPr>
          <w:spacing w:val="-14"/>
        </w:rPr>
        <w:t> </w:t>
      </w:r>
      <w:r>
        <w:rPr/>
        <w:t>recursos</w:t>
      </w:r>
      <w:r>
        <w:rPr>
          <w:spacing w:val="-13"/>
        </w:rPr>
        <w:t> </w:t>
      </w:r>
      <w:r>
        <w:rPr/>
        <w:t>no</w:t>
      </w:r>
      <w:r>
        <w:rPr>
          <w:spacing w:val="-14"/>
        </w:rPr>
        <w:t> </w:t>
      </w:r>
      <w:r>
        <w:rPr/>
        <w:t>montante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R$</w:t>
      </w:r>
      <w:r>
        <w:rPr>
          <w:spacing w:val="-13"/>
        </w:rPr>
        <w:t> </w:t>
      </w:r>
      <w:r>
        <w:rPr/>
        <w:t>47,51</w:t>
      </w:r>
      <w:r>
        <w:rPr>
          <w:spacing w:val="11"/>
        </w:rPr>
        <w:t> </w:t>
      </w:r>
      <w:r>
        <w:rPr/>
        <w:t>milhões,</w:t>
      </w:r>
      <w:r>
        <w:rPr>
          <w:spacing w:val="-13"/>
        </w:rPr>
        <w:t> </w:t>
      </w:r>
      <w:r>
        <w:rPr/>
        <w:t>ou</w:t>
      </w:r>
      <w:r>
        <w:rPr>
          <w:spacing w:val="-14"/>
        </w:rPr>
        <w:t> </w:t>
      </w:r>
      <w:r>
        <w:rPr>
          <w:b/>
        </w:rPr>
        <w:t>114,8%</w:t>
      </w:r>
      <w:r>
        <w:rPr>
          <w:b/>
          <w:spacing w:val="-14"/>
        </w:rPr>
        <w:t> </w:t>
      </w:r>
      <w:r>
        <w:rPr/>
        <w:t>da</w:t>
      </w:r>
      <w:r>
        <w:rPr>
          <w:spacing w:val="-12"/>
        </w:rPr>
        <w:t> </w:t>
      </w:r>
      <w:r>
        <w:rPr/>
        <w:t>RAL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>
          <w:b/>
        </w:rPr>
        <w:t>Patrocínios </w:t>
      </w:r>
      <w:r>
        <w:rPr/>
        <w:t>foi destinado R$ 410 mil, ou </w:t>
      </w:r>
      <w:r>
        <w:rPr>
          <w:b/>
        </w:rPr>
        <w:t>1,0% </w:t>
      </w:r>
      <w:r>
        <w:rPr/>
        <w:t>da RAL. Para o objetivo estratégico de “Fomentar o Acesso da Sociedade à Arquitetura</w:t>
      </w:r>
      <w:r>
        <w:rPr>
          <w:spacing w:val="-2"/>
        </w:rPr>
        <w:t> </w:t>
      </w:r>
      <w:r>
        <w:rPr/>
        <w:t>e Urbanismo”, no âmbito da ATHIS, os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envolvidos são de R$ 1,67 milhão,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>
          <w:b/>
        </w:rPr>
        <w:t>4,0%</w:t>
      </w:r>
      <w:r>
        <w:rPr/>
        <w:t>.</w:t>
      </w:r>
      <w:r>
        <w:rPr>
          <w:spacing w:val="-7"/>
        </w:rPr>
        <w:t> </w:t>
      </w:r>
      <w:r>
        <w:rPr/>
        <w:t>Para</w:t>
      </w:r>
      <w:r>
        <w:rPr>
          <w:spacing w:val="-3"/>
        </w:rPr>
        <w:t> </w:t>
      </w:r>
      <w:r>
        <w:rPr>
          <w:b/>
        </w:rPr>
        <w:t>Capacitação</w:t>
      </w:r>
      <w:r>
        <w:rPr>
          <w:b/>
          <w:spacing w:val="-3"/>
        </w:rPr>
        <w:t> </w:t>
      </w:r>
      <w:r>
        <w:rPr/>
        <w:t>são</w:t>
      </w:r>
      <w:r>
        <w:rPr>
          <w:spacing w:val="-6"/>
        </w:rPr>
        <w:t> </w:t>
      </w:r>
      <w:r>
        <w:rPr/>
        <w:t>destinados</w:t>
      </w:r>
      <w:r>
        <w:rPr>
          <w:spacing w:val="-3"/>
        </w:rPr>
        <w:t> </w:t>
      </w:r>
      <w:r>
        <w:rPr>
          <w:b/>
        </w:rPr>
        <w:t>2,0%</w:t>
      </w:r>
      <w:r>
        <w:rPr>
          <w:b/>
          <w:spacing w:val="-6"/>
        </w:rPr>
        <w:t> </w:t>
      </w:r>
      <w:r>
        <w:rPr/>
        <w:t>ou</w:t>
      </w:r>
      <w:r>
        <w:rPr>
          <w:spacing w:val="-2"/>
        </w:rPr>
        <w:t> </w:t>
      </w:r>
      <w:r>
        <w:rPr/>
        <w:t>R$</w:t>
      </w:r>
      <w:r>
        <w:rPr>
          <w:spacing w:val="-6"/>
        </w:rPr>
        <w:t> </w:t>
      </w:r>
      <w:r>
        <w:rPr/>
        <w:t>599,35</w:t>
      </w:r>
      <w:r>
        <w:rPr>
          <w:spacing w:val="-5"/>
        </w:rPr>
        <w:t> </w:t>
      </w:r>
      <w:r>
        <w:rPr/>
        <w:t>mil,</w:t>
      </w:r>
      <w:r>
        <w:rPr>
          <w:spacing w:val="-6"/>
        </w:rPr>
        <w:t> </w:t>
      </w:r>
      <w:r>
        <w:rPr/>
        <w:t>considerando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total da folha de pagamentos monta em R$ 30,07 milhões, conforme demonstrado no anexo 6.</w:t>
      </w:r>
    </w:p>
    <w:p>
      <w:pPr>
        <w:pStyle w:val="BodyText"/>
        <w:spacing w:line="360" w:lineRule="auto" w:before="161"/>
        <w:ind w:left="118" w:right="166" w:firstLine="851"/>
        <w:jc w:val="both"/>
      </w:pPr>
      <w:r>
        <w:rPr/>
        <w:t>No tocante aos limites de aplicações em </w:t>
      </w:r>
      <w:r>
        <w:rPr>
          <w:b/>
        </w:rPr>
        <w:t>Pessoal </w:t>
      </w:r>
      <w:r>
        <w:rPr/>
        <w:t>(salários e encargos), considerando que estão</w:t>
      </w:r>
      <w:r>
        <w:rPr>
          <w:spacing w:val="64"/>
        </w:rPr>
        <w:t> </w:t>
      </w:r>
      <w:r>
        <w:rPr/>
        <w:t>sendo</w:t>
      </w:r>
      <w:r>
        <w:rPr>
          <w:spacing w:val="63"/>
        </w:rPr>
        <w:t> </w:t>
      </w:r>
      <w:r>
        <w:rPr/>
        <w:t>destinados</w:t>
      </w:r>
      <w:r>
        <w:rPr>
          <w:spacing w:val="63"/>
        </w:rPr>
        <w:t> </w:t>
      </w:r>
      <w:r>
        <w:rPr/>
        <w:t>recursos</w:t>
      </w:r>
      <w:r>
        <w:rPr>
          <w:spacing w:val="63"/>
        </w:rPr>
        <w:t> </w:t>
      </w:r>
      <w:r>
        <w:rPr/>
        <w:t>no</w:t>
      </w:r>
      <w:r>
        <w:rPr>
          <w:spacing w:val="63"/>
        </w:rPr>
        <w:t> </w:t>
      </w:r>
      <w:r>
        <w:rPr/>
        <w:t>montante</w:t>
      </w:r>
      <w:r>
        <w:rPr>
          <w:spacing w:val="63"/>
        </w:rPr>
        <w:t> </w:t>
      </w:r>
      <w:r>
        <w:rPr/>
        <w:t>de</w:t>
      </w:r>
      <w:r>
        <w:rPr>
          <w:spacing w:val="68"/>
        </w:rPr>
        <w:t> </w:t>
      </w:r>
      <w:r>
        <w:rPr/>
        <w:t>R$</w:t>
      </w:r>
      <w:r>
        <w:rPr>
          <w:spacing w:val="64"/>
        </w:rPr>
        <w:t> </w:t>
      </w:r>
      <w:r>
        <w:rPr/>
        <w:t>25,35</w:t>
      </w:r>
      <w:r>
        <w:rPr>
          <w:spacing w:val="64"/>
        </w:rPr>
        <w:t> </w:t>
      </w:r>
      <w:r>
        <w:rPr/>
        <w:t>milhões</w:t>
      </w:r>
      <w:r>
        <w:rPr>
          <w:spacing w:val="62"/>
        </w:rPr>
        <w:t> </w:t>
      </w:r>
      <w:r>
        <w:rPr/>
        <w:t>(excetuando</w:t>
      </w:r>
      <w:r>
        <w:rPr>
          <w:spacing w:val="63"/>
        </w:rPr>
        <w:t> </w:t>
      </w:r>
      <w:r>
        <w:rPr/>
        <w:t>os</w:t>
      </w:r>
      <w:r>
        <w:rPr>
          <w:spacing w:val="65"/>
        </w:rPr>
        <w:t> </w:t>
      </w:r>
      <w:r>
        <w:rPr/>
        <w:t>valores</w:t>
      </w:r>
    </w:p>
    <w:p>
      <w:pPr>
        <w:spacing w:after="0" w:line="360" w:lineRule="auto"/>
        <w:jc w:val="both"/>
        <w:sectPr>
          <w:pgSz w:w="11910" w:h="16840"/>
          <w:pgMar w:header="689" w:footer="261" w:top="1580" w:bottom="460" w:left="1300" w:right="680"/>
        </w:sectPr>
      </w:pPr>
    </w:p>
    <w:p>
      <w:pPr>
        <w:pStyle w:val="BodyText"/>
        <w:spacing w:line="360" w:lineRule="auto" w:before="14"/>
        <w:ind w:left="118" w:right="164"/>
        <w:jc w:val="both"/>
      </w:pPr>
      <w:r>
        <w:rPr/>
        <w:t>destinados a benefícios concedidos), o índice situa-se em </w:t>
      </w:r>
      <w:r>
        <w:rPr>
          <w:b/>
        </w:rPr>
        <w:t>41,5% </w:t>
      </w:r>
      <w:r>
        <w:rPr/>
        <w:t>das receitas correntes (R$ 61,05 milhões),</w:t>
      </w:r>
      <w:r>
        <w:rPr>
          <w:spacing w:val="-10"/>
        </w:rPr>
        <w:t> </w:t>
      </w:r>
      <w:r>
        <w:rPr/>
        <w:t>conforme</w:t>
      </w:r>
      <w:r>
        <w:rPr>
          <w:spacing w:val="-11"/>
        </w:rPr>
        <w:t> </w:t>
      </w:r>
      <w:r>
        <w:rPr/>
        <w:t>demonstrado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anexo</w:t>
      </w:r>
      <w:r>
        <w:rPr>
          <w:spacing w:val="-9"/>
        </w:rPr>
        <w:t> </w:t>
      </w:r>
      <w:r>
        <w:rPr/>
        <w:t>5.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>
          <w:b/>
        </w:rPr>
        <w:t>Reserva</w:t>
      </w:r>
      <w:r>
        <w:rPr>
          <w:b/>
          <w:spacing w:val="-11"/>
        </w:rPr>
        <w:t> </w:t>
      </w:r>
      <w:r>
        <w:rPr>
          <w:b/>
        </w:rPr>
        <w:t>de</w:t>
      </w:r>
      <w:r>
        <w:rPr>
          <w:b/>
          <w:spacing w:val="-11"/>
        </w:rPr>
        <w:t> </w:t>
      </w:r>
      <w:r>
        <w:rPr>
          <w:b/>
        </w:rPr>
        <w:t>Contingência</w:t>
      </w:r>
      <w:r>
        <w:rPr>
          <w:b/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recursos</w:t>
      </w:r>
      <w:r>
        <w:rPr>
          <w:spacing w:val="-12"/>
        </w:rPr>
        <w:t> </w:t>
      </w:r>
      <w:r>
        <w:rPr/>
        <w:t>destinados são de R$ 259,51 mil ou </w:t>
      </w:r>
      <w:r>
        <w:rPr>
          <w:b/>
        </w:rPr>
        <w:t>0,6 % </w:t>
      </w:r>
      <w:r>
        <w:rPr/>
        <w:t>da RAL), conforme demonstrado no anexo 6.</w:t>
      </w:r>
    </w:p>
    <w:p>
      <w:pPr>
        <w:spacing w:line="360" w:lineRule="auto" w:before="160"/>
        <w:ind w:left="118" w:right="163" w:firstLine="851"/>
        <w:jc w:val="both"/>
        <w:rPr>
          <w:sz w:val="24"/>
        </w:rPr>
      </w:pPr>
      <w:r>
        <w:rPr>
          <w:b/>
          <w:sz w:val="24"/>
        </w:rPr>
        <w:t>Os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CAU/UF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respondem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uma</w:t>
      </w:r>
      <w:r>
        <w:rPr>
          <w:spacing w:val="-8"/>
          <w:sz w:val="24"/>
        </w:rPr>
        <w:t> </w:t>
      </w:r>
      <w:r>
        <w:rPr>
          <w:sz w:val="24"/>
        </w:rPr>
        <w:t>receita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arrecadação</w:t>
      </w:r>
      <w:r>
        <w:rPr>
          <w:spacing w:val="-8"/>
          <w:sz w:val="24"/>
        </w:rPr>
        <w:t> </w:t>
      </w:r>
      <w:r>
        <w:rPr>
          <w:sz w:val="24"/>
        </w:rPr>
        <w:t>líquida</w:t>
      </w:r>
      <w:r>
        <w:rPr>
          <w:spacing w:val="-8"/>
          <w:sz w:val="24"/>
        </w:rPr>
        <w:t> </w:t>
      </w:r>
      <w:r>
        <w:rPr>
          <w:sz w:val="24"/>
        </w:rPr>
        <w:t>total</w:t>
      </w:r>
      <w:r>
        <w:rPr>
          <w:spacing w:val="-8"/>
          <w:sz w:val="24"/>
        </w:rPr>
        <w:t> </w:t>
      </w:r>
      <w:r>
        <w:rPr>
          <w:sz w:val="24"/>
        </w:rPr>
        <w:t>(RAL)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valor</w:t>
      </w:r>
      <w:r>
        <w:rPr>
          <w:spacing w:val="-11"/>
          <w:sz w:val="24"/>
        </w:rPr>
        <w:t> </w:t>
      </w:r>
      <w:r>
        <w:rPr>
          <w:sz w:val="24"/>
        </w:rPr>
        <w:t>de R$</w:t>
      </w:r>
      <w:r>
        <w:rPr>
          <w:spacing w:val="-12"/>
          <w:sz w:val="24"/>
        </w:rPr>
        <w:t> </w:t>
      </w:r>
      <w:r>
        <w:rPr>
          <w:sz w:val="24"/>
        </w:rPr>
        <w:t>168,78</w:t>
      </w:r>
      <w:r>
        <w:rPr>
          <w:spacing w:val="-10"/>
          <w:sz w:val="24"/>
        </w:rPr>
        <w:t> </w:t>
      </w:r>
      <w:r>
        <w:rPr>
          <w:sz w:val="24"/>
        </w:rPr>
        <w:t>milhões,</w:t>
      </w:r>
      <w:r>
        <w:rPr>
          <w:spacing w:val="-11"/>
          <w:sz w:val="24"/>
        </w:rPr>
        <w:t> </w:t>
      </w:r>
      <w:r>
        <w:rPr>
          <w:sz w:val="24"/>
        </w:rPr>
        <w:t>apresentam</w:t>
      </w:r>
      <w:r>
        <w:rPr>
          <w:spacing w:val="-11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destinações</w:t>
      </w:r>
      <w:r>
        <w:rPr>
          <w:spacing w:val="-11"/>
          <w:sz w:val="24"/>
        </w:rPr>
        <w:t> </w:t>
      </w:r>
      <w:r>
        <w:rPr>
          <w:sz w:val="24"/>
        </w:rPr>
        <w:t>estratégicas</w:t>
      </w:r>
      <w:r>
        <w:rPr>
          <w:spacing w:val="-11"/>
          <w:sz w:val="24"/>
        </w:rPr>
        <w:t> </w:t>
      </w:r>
      <w:r>
        <w:rPr>
          <w:sz w:val="24"/>
        </w:rPr>
        <w:t>dimensionadas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atendidas,</w:t>
      </w:r>
      <w:r>
        <w:rPr>
          <w:spacing w:val="-11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seguinte forma:</w:t>
      </w:r>
      <w:r>
        <w:rPr>
          <w:spacing w:val="-11"/>
          <w:sz w:val="24"/>
        </w:rPr>
        <w:t> </w:t>
      </w:r>
      <w:r>
        <w:rPr>
          <w:b/>
          <w:sz w:val="24"/>
        </w:rPr>
        <w:t>28,9%</w:t>
      </w:r>
      <w:r>
        <w:rPr>
          <w:b/>
          <w:spacing w:val="-12"/>
          <w:sz w:val="24"/>
        </w:rPr>
        <w:t> </w:t>
      </w:r>
      <w:r>
        <w:rPr>
          <w:sz w:val="24"/>
        </w:rPr>
        <w:t>ou</w:t>
      </w:r>
      <w:r>
        <w:rPr>
          <w:spacing w:val="-11"/>
          <w:sz w:val="24"/>
        </w:rPr>
        <w:t> </w:t>
      </w:r>
      <w:r>
        <w:rPr>
          <w:sz w:val="24"/>
        </w:rPr>
        <w:t>R$</w:t>
      </w:r>
      <w:r>
        <w:rPr>
          <w:spacing w:val="-12"/>
          <w:sz w:val="24"/>
        </w:rPr>
        <w:t> </w:t>
      </w:r>
      <w:r>
        <w:rPr>
          <w:sz w:val="24"/>
        </w:rPr>
        <w:t>48,71</w:t>
      </w:r>
      <w:r>
        <w:rPr>
          <w:spacing w:val="-8"/>
          <w:sz w:val="24"/>
        </w:rPr>
        <w:t> </w:t>
      </w:r>
      <w:r>
        <w:rPr>
          <w:sz w:val="24"/>
        </w:rPr>
        <w:t>milhões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b/>
          <w:sz w:val="24"/>
        </w:rPr>
        <w:t>Fiscalização</w:t>
      </w:r>
      <w:r>
        <w:rPr>
          <w:sz w:val="24"/>
        </w:rPr>
        <w:t>;</w:t>
      </w:r>
      <w:r>
        <w:rPr>
          <w:spacing w:val="-9"/>
          <w:sz w:val="24"/>
        </w:rPr>
        <w:t> </w:t>
      </w:r>
      <w:r>
        <w:rPr>
          <w:b/>
          <w:sz w:val="24"/>
        </w:rPr>
        <w:t>17,5%</w:t>
      </w:r>
      <w:r>
        <w:rPr>
          <w:b/>
          <w:spacing w:val="-12"/>
          <w:sz w:val="24"/>
        </w:rPr>
        <w:t> </w:t>
      </w:r>
      <w:r>
        <w:rPr>
          <w:sz w:val="24"/>
        </w:rPr>
        <w:t>ou</w:t>
      </w:r>
      <w:r>
        <w:rPr>
          <w:spacing w:val="-9"/>
          <w:sz w:val="24"/>
        </w:rPr>
        <w:t> </w:t>
      </w:r>
      <w:r>
        <w:rPr>
          <w:sz w:val="24"/>
        </w:rPr>
        <w:t>R$</w:t>
      </w:r>
      <w:r>
        <w:rPr>
          <w:spacing w:val="-12"/>
          <w:sz w:val="24"/>
        </w:rPr>
        <w:t> </w:t>
      </w:r>
      <w:r>
        <w:rPr>
          <w:sz w:val="24"/>
        </w:rPr>
        <w:t>29,48</w:t>
      </w:r>
      <w:r>
        <w:rPr>
          <w:spacing w:val="-11"/>
          <w:sz w:val="24"/>
        </w:rPr>
        <w:t> </w:t>
      </w:r>
      <w:r>
        <w:rPr>
          <w:sz w:val="24"/>
        </w:rPr>
        <w:t>milhões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b/>
          <w:sz w:val="24"/>
        </w:rPr>
        <w:t>Atendimento</w:t>
      </w:r>
      <w:r>
        <w:rPr>
          <w:sz w:val="24"/>
        </w:rPr>
        <w:t>; </w:t>
      </w:r>
      <w:r>
        <w:rPr>
          <w:b/>
          <w:sz w:val="24"/>
        </w:rPr>
        <w:t>7,1%</w:t>
      </w:r>
      <w:r>
        <w:rPr>
          <w:b/>
          <w:spacing w:val="-1"/>
          <w:sz w:val="24"/>
        </w:rPr>
        <w:t> </w:t>
      </w:r>
      <w:r>
        <w:rPr>
          <w:sz w:val="24"/>
        </w:rPr>
        <w:t>ou R$ 11,90</w:t>
      </w:r>
      <w:r>
        <w:rPr>
          <w:spacing w:val="-1"/>
          <w:sz w:val="24"/>
        </w:rPr>
        <w:t> </w:t>
      </w:r>
      <w:r>
        <w:rPr>
          <w:sz w:val="24"/>
        </w:rPr>
        <w:t>milhões para </w:t>
      </w:r>
      <w:r>
        <w:rPr>
          <w:b/>
          <w:sz w:val="24"/>
        </w:rPr>
        <w:t>Comunicação</w:t>
      </w:r>
      <w:r>
        <w:rPr>
          <w:sz w:val="24"/>
        </w:rPr>
        <w:t>; </w:t>
      </w:r>
      <w:r>
        <w:rPr>
          <w:b/>
          <w:sz w:val="24"/>
        </w:rPr>
        <w:t>1,6% </w:t>
      </w:r>
      <w:r>
        <w:rPr>
          <w:sz w:val="24"/>
        </w:rPr>
        <w:t>ou R$ 2,75</w:t>
      </w:r>
      <w:r>
        <w:rPr>
          <w:spacing w:val="-1"/>
          <w:sz w:val="24"/>
        </w:rPr>
        <w:t> </w:t>
      </w:r>
      <w:r>
        <w:rPr>
          <w:sz w:val="24"/>
        </w:rPr>
        <w:t>milhões</w:t>
      </w:r>
      <w:r>
        <w:rPr>
          <w:spacing w:val="-1"/>
          <w:sz w:val="24"/>
        </w:rPr>
        <w:t> </w:t>
      </w:r>
      <w:r>
        <w:rPr>
          <w:sz w:val="24"/>
        </w:rPr>
        <w:t>para </w:t>
      </w:r>
      <w:r>
        <w:rPr>
          <w:b/>
          <w:sz w:val="24"/>
        </w:rPr>
        <w:t>Patrocínios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26,7% </w:t>
      </w:r>
      <w:r>
        <w:rPr>
          <w:sz w:val="24"/>
        </w:rPr>
        <w:t>ou R$ 45,06 milhões para os </w:t>
      </w:r>
      <w:r>
        <w:rPr>
          <w:b/>
          <w:sz w:val="24"/>
        </w:rPr>
        <w:t>Objetivos Estratégicos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elencados prioritários pelos CAU/UF</w:t>
      </w:r>
      <w:r>
        <w:rPr>
          <w:sz w:val="24"/>
        </w:rPr>
        <w:t>; </w:t>
      </w:r>
      <w:r>
        <w:rPr>
          <w:b/>
          <w:sz w:val="24"/>
        </w:rPr>
        <w:t>4,1% </w:t>
      </w:r>
      <w:r>
        <w:rPr>
          <w:sz w:val="24"/>
        </w:rPr>
        <w:t>ou R$ 6,87</w:t>
      </w:r>
      <w:r>
        <w:rPr>
          <w:spacing w:val="-8"/>
          <w:sz w:val="24"/>
        </w:rPr>
        <w:t> </w:t>
      </w:r>
      <w:r>
        <w:rPr>
          <w:sz w:val="24"/>
        </w:rPr>
        <w:t>milhões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b/>
          <w:sz w:val="24"/>
        </w:rPr>
        <w:t>ATHIS</w:t>
      </w:r>
      <w:r>
        <w:rPr>
          <w:sz w:val="24"/>
        </w:rPr>
        <w:t>.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b/>
          <w:sz w:val="24"/>
        </w:rPr>
        <w:t>Capacitação</w:t>
      </w:r>
      <w:r>
        <w:rPr>
          <w:b/>
          <w:spacing w:val="-6"/>
          <w:sz w:val="24"/>
        </w:rPr>
        <w:t> </w:t>
      </w:r>
      <w:r>
        <w:rPr>
          <w:sz w:val="24"/>
        </w:rPr>
        <w:t>são</w:t>
      </w:r>
      <w:r>
        <w:rPr>
          <w:spacing w:val="-8"/>
          <w:sz w:val="24"/>
        </w:rPr>
        <w:t> </w:t>
      </w:r>
      <w:r>
        <w:rPr>
          <w:sz w:val="24"/>
        </w:rPr>
        <w:t>destinados</w:t>
      </w:r>
      <w:r>
        <w:rPr>
          <w:spacing w:val="-7"/>
          <w:sz w:val="24"/>
        </w:rPr>
        <w:t> </w:t>
      </w:r>
      <w:r>
        <w:rPr>
          <w:b/>
          <w:sz w:val="24"/>
        </w:rPr>
        <w:t>2,1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%</w:t>
      </w:r>
      <w:r>
        <w:rPr>
          <w:b/>
          <w:spacing w:val="-9"/>
          <w:sz w:val="24"/>
        </w:rPr>
        <w:t> </w:t>
      </w:r>
      <w:r>
        <w:rPr>
          <w:sz w:val="24"/>
        </w:rPr>
        <w:t>ou</w:t>
      </w:r>
      <w:r>
        <w:rPr>
          <w:spacing w:val="-6"/>
          <w:sz w:val="24"/>
        </w:rPr>
        <w:t> </w:t>
      </w:r>
      <w:r>
        <w:rPr>
          <w:sz w:val="24"/>
        </w:rPr>
        <w:t>R$</w:t>
      </w:r>
      <w:r>
        <w:rPr>
          <w:spacing w:val="-8"/>
          <w:sz w:val="24"/>
        </w:rPr>
        <w:t> </w:t>
      </w:r>
      <w:r>
        <w:rPr>
          <w:sz w:val="24"/>
        </w:rPr>
        <w:t>2,04</w:t>
      </w:r>
      <w:r>
        <w:rPr>
          <w:spacing w:val="-5"/>
          <w:sz w:val="24"/>
        </w:rPr>
        <w:t> </w:t>
      </w:r>
      <w:r>
        <w:rPr>
          <w:sz w:val="24"/>
        </w:rPr>
        <w:t>milhão,</w:t>
      </w:r>
      <w:r>
        <w:rPr>
          <w:spacing w:val="-9"/>
          <w:sz w:val="24"/>
        </w:rPr>
        <w:t> </w:t>
      </w:r>
      <w:r>
        <w:rPr>
          <w:sz w:val="24"/>
        </w:rPr>
        <w:t>considerando que o total da folha de pagamentos, desses CAU/UF, monta em R$ 98,54 milhões, conforme demonstrado no anexo 6.</w:t>
      </w:r>
    </w:p>
    <w:p>
      <w:pPr>
        <w:pStyle w:val="BodyText"/>
        <w:spacing w:line="360" w:lineRule="auto" w:before="159"/>
        <w:ind w:left="118" w:right="166" w:firstLine="851"/>
        <w:jc w:val="both"/>
      </w:pPr>
      <w:r>
        <w:rPr/>
        <w:t>No tocante aos limites de aplicações em </w:t>
      </w:r>
      <w:r>
        <w:rPr>
          <w:b/>
        </w:rPr>
        <w:t>Pessoal </w:t>
      </w:r>
      <w:r>
        <w:rPr/>
        <w:t>(salários e encargos), considerando que estão sendo destinados recursos no montante de R$ 84,17 milhões (excetuando-se os valores destinados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rescisões</w:t>
      </w:r>
      <w:r>
        <w:rPr>
          <w:spacing w:val="-10"/>
        </w:rPr>
        <w:t> </w:t>
      </w:r>
      <w:r>
        <w:rPr/>
        <w:t>contratuais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benefícios</w:t>
      </w:r>
      <w:r>
        <w:rPr>
          <w:spacing w:val="-7"/>
        </w:rPr>
        <w:t> </w:t>
      </w:r>
      <w:r>
        <w:rPr/>
        <w:t>concedidos),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índice</w:t>
      </w:r>
      <w:r>
        <w:rPr>
          <w:spacing w:val="-7"/>
        </w:rPr>
        <w:t> </w:t>
      </w:r>
      <w:r>
        <w:rPr/>
        <w:t>situa-se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>
          <w:b/>
        </w:rPr>
        <w:t>45,4%</w:t>
      </w:r>
      <w:r>
        <w:rPr>
          <w:b/>
          <w:spacing w:val="-10"/>
        </w:rPr>
        <w:t> </w:t>
      </w:r>
      <w:r>
        <w:rPr/>
        <w:t>das</w:t>
      </w:r>
      <w:r>
        <w:rPr>
          <w:spacing w:val="-10"/>
        </w:rPr>
        <w:t> </w:t>
      </w:r>
      <w:r>
        <w:rPr/>
        <w:t>receitas correntes (R$ 185.39 milhões). Para </w:t>
      </w:r>
      <w:r>
        <w:rPr>
          <w:b/>
        </w:rPr>
        <w:t>reserva de contingência </w:t>
      </w:r>
      <w:r>
        <w:rPr/>
        <w:t>os recursos destinados são de R$ 880,19 mil, ou </w:t>
      </w:r>
      <w:r>
        <w:rPr>
          <w:b/>
        </w:rPr>
        <w:t>0,6% </w:t>
      </w:r>
      <w:r>
        <w:rPr/>
        <w:t>da RAL), conforme demonstrado nos anexos 5 e 6.</w:t>
      </w:r>
    </w:p>
    <w:p>
      <w:pPr>
        <w:pStyle w:val="BodyText"/>
        <w:spacing w:line="360" w:lineRule="auto" w:before="162"/>
        <w:ind w:left="118" w:right="166" w:firstLine="851"/>
        <w:jc w:val="both"/>
      </w:pPr>
      <w:r>
        <w:rPr/>
        <w:t>Importante mencionar que as Diretrizes da Reprogramação 2022 condicionou aos órgãos deliberativos dos CAU/UF, mediante as justificativas próprias, flexibilizar a aplicação de recursos mínimos e máximos apenas para o limite de capacitação na Reprogramação do Plano de Ação e Orçamento de 2022. Portanto os CAU/UF que flexibilizaram, mediante justificativas próprias, o limite de capacitação (anexos 5 e 6) foram:</w:t>
      </w:r>
      <w:r>
        <w:rPr>
          <w:spacing w:val="40"/>
        </w:rPr>
        <w:t> </w:t>
      </w:r>
      <w:r>
        <w:rPr/>
        <w:t>PE, ES e RS</w:t>
      </w:r>
    </w:p>
    <w:p>
      <w:pPr>
        <w:pStyle w:val="BodyText"/>
        <w:spacing w:line="360" w:lineRule="auto" w:before="160"/>
        <w:ind w:left="118" w:right="165" w:firstLine="851"/>
        <w:jc w:val="both"/>
      </w:pPr>
      <w:r>
        <w:rPr/>
        <w:t>A composição da destinação estratégica de recursos, observando as quantidades de iniciativas a serem implementadas</w:t>
      </w:r>
      <w:r>
        <w:rPr>
          <w:spacing w:val="-2"/>
        </w:rPr>
        <w:t> </w:t>
      </w:r>
      <w:r>
        <w:rPr/>
        <w:t>por Objetivo</w:t>
      </w:r>
      <w:r>
        <w:rPr>
          <w:spacing w:val="-1"/>
        </w:rPr>
        <w:t> </w:t>
      </w:r>
      <w:r>
        <w:rPr/>
        <w:t>Estratégico</w:t>
      </w:r>
      <w:r>
        <w:rPr>
          <w:spacing w:val="-1"/>
        </w:rPr>
        <w:t> </w:t>
      </w:r>
      <w:r>
        <w:rPr/>
        <w:t>e valores direcionados à sua</w:t>
      </w:r>
      <w:r>
        <w:rPr>
          <w:spacing w:val="-2"/>
        </w:rPr>
        <w:t> </w:t>
      </w:r>
      <w:r>
        <w:rPr/>
        <w:t>execução, no</w:t>
      </w:r>
      <w:r>
        <w:rPr>
          <w:spacing w:val="-3"/>
        </w:rPr>
        <w:t> </w:t>
      </w:r>
      <w:r>
        <w:rPr/>
        <w:t>atendimento</w:t>
      </w:r>
      <w:r>
        <w:rPr>
          <w:spacing w:val="-3"/>
        </w:rPr>
        <w:t> </w:t>
      </w:r>
      <w:r>
        <w:rPr/>
        <w:t>aos</w:t>
      </w:r>
      <w:r>
        <w:rPr>
          <w:spacing w:val="-7"/>
        </w:rPr>
        <w:t> </w:t>
      </w:r>
      <w:r>
        <w:rPr/>
        <w:t>limites</w:t>
      </w:r>
      <w:r>
        <w:rPr>
          <w:spacing w:val="-3"/>
        </w:rPr>
        <w:t> </w:t>
      </w:r>
      <w:r>
        <w:rPr/>
        <w:t>estabelecidos</w:t>
      </w:r>
      <w:r>
        <w:rPr>
          <w:spacing w:val="-6"/>
        </w:rPr>
        <w:t> </w:t>
      </w:r>
      <w:r>
        <w:rPr/>
        <w:t>nas</w:t>
      </w:r>
      <w:r>
        <w:rPr>
          <w:spacing w:val="-6"/>
        </w:rPr>
        <w:t> </w:t>
      </w:r>
      <w:r>
        <w:rPr/>
        <w:t>Diretrizes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Reprogramação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Plano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Ação</w:t>
      </w:r>
      <w:r>
        <w:rPr>
          <w:spacing w:val="-6"/>
        </w:rPr>
        <w:t> </w:t>
      </w:r>
      <w:r>
        <w:rPr/>
        <w:t>2022, apresenta-se no Quadro 4. O detalhamento por CAU/UF e CAU/BR consta no Anexo 7.</w:t>
      </w:r>
    </w:p>
    <w:p>
      <w:pPr>
        <w:spacing w:after="0" w:line="360" w:lineRule="auto"/>
        <w:jc w:val="both"/>
        <w:sectPr>
          <w:pgSz w:w="11910" w:h="16840"/>
          <w:pgMar w:header="689" w:footer="261" w:top="1580" w:bottom="460" w:left="1300" w:right="680"/>
        </w:sectPr>
      </w:pPr>
    </w:p>
    <w:p>
      <w:pPr>
        <w:pStyle w:val="Heading3"/>
        <w:numPr>
          <w:ilvl w:val="0"/>
          <w:numId w:val="2"/>
        </w:numPr>
        <w:tabs>
          <w:tab w:pos="398" w:val="left" w:leader="none"/>
        </w:tabs>
        <w:spacing w:line="240" w:lineRule="auto" w:before="14" w:after="0"/>
        <w:ind w:left="397" w:right="0" w:hanging="280"/>
        <w:jc w:val="left"/>
      </w:pPr>
      <w:bookmarkStart w:name="_bookmark13" w:id="14"/>
      <w:bookmarkEnd w:id="14"/>
      <w:r>
        <w:rPr>
          <w:color w:val="602041"/>
        </w:rPr>
        <w:t>AP</w:t>
      </w:r>
      <w:r>
        <w:rPr>
          <w:color w:val="602041"/>
        </w:rPr>
        <w:t>LICAÇÃO</w:t>
      </w:r>
      <w:r>
        <w:rPr>
          <w:color w:val="602041"/>
          <w:spacing w:val="-6"/>
        </w:rPr>
        <w:t> </w:t>
      </w:r>
      <w:r>
        <w:rPr>
          <w:color w:val="602041"/>
        </w:rPr>
        <w:t>ORÇAMENTÁRIA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  <w:spacing w:val="-2"/>
        </w:rPr>
        <w:t>RECURSOS.</w:t>
      </w:r>
    </w:p>
    <w:p>
      <w:pPr>
        <w:pStyle w:val="BodyText"/>
        <w:rPr>
          <w:b/>
          <w:sz w:val="27"/>
        </w:rPr>
      </w:pPr>
    </w:p>
    <w:p>
      <w:pPr>
        <w:spacing w:line="360" w:lineRule="auto" w:before="0"/>
        <w:ind w:left="118" w:right="164" w:firstLine="851"/>
        <w:jc w:val="both"/>
        <w:rPr>
          <w:sz w:val="24"/>
        </w:rPr>
      </w:pPr>
      <w:r>
        <w:rPr>
          <w:sz w:val="24"/>
        </w:rPr>
        <w:t>Por elemento de despesas, das aplicações orçamentárias do CAU para a implementação das iniciativas estratégicas contempladas na Reprogramação do Plano de Ação 2022, R$131,13 milhões estão destinados aos </w:t>
      </w:r>
      <w:r>
        <w:rPr>
          <w:b/>
          <w:sz w:val="24"/>
        </w:rPr>
        <w:t>gastos com pessoal </w:t>
      </w:r>
      <w:r>
        <w:rPr>
          <w:sz w:val="24"/>
        </w:rPr>
        <w:t>(salários, encargos e benefícios) e </w:t>
      </w:r>
      <w:r>
        <w:rPr>
          <w:b/>
          <w:sz w:val="24"/>
        </w:rPr>
        <w:t>diárias 40,1% e 0,8%, respectivamente, ou R$ 128,61 milhões e 2,52 milhões</w:t>
      </w:r>
      <w:r>
        <w:rPr>
          <w:sz w:val="24"/>
        </w:rPr>
        <w:t>, seguido de </w:t>
      </w:r>
      <w:r>
        <w:rPr>
          <w:b/>
          <w:sz w:val="24"/>
        </w:rPr>
        <w:t>serviços de terceiros com 30,2%, ou R$ 96,91 milhões</w:t>
      </w:r>
      <w:r>
        <w:rPr>
          <w:sz w:val="24"/>
        </w:rPr>
        <w:t>. Para as despesas com </w:t>
      </w:r>
      <w:r>
        <w:rPr>
          <w:b/>
          <w:sz w:val="24"/>
        </w:rPr>
        <w:t>imobilizado </w:t>
      </w:r>
      <w:r>
        <w:rPr>
          <w:sz w:val="24"/>
        </w:rPr>
        <w:t>estão direcionados </w:t>
      </w:r>
      <w:r>
        <w:rPr>
          <w:b/>
          <w:sz w:val="24"/>
        </w:rPr>
        <w:t>R$ 66,44 milhões representando 18,8% do total</w:t>
      </w:r>
      <w:r>
        <w:rPr>
          <w:sz w:val="24"/>
        </w:rPr>
        <w:t>. As aplicações em </w:t>
      </w:r>
      <w:r>
        <w:rPr>
          <w:b/>
          <w:sz w:val="24"/>
        </w:rPr>
        <w:t>Encargos Diversos </w:t>
      </w:r>
      <w:r>
        <w:rPr>
          <w:sz w:val="24"/>
        </w:rPr>
        <w:t>(R$ 5,47 milhões) e </w:t>
      </w:r>
      <w:r>
        <w:rPr>
          <w:b/>
          <w:sz w:val="24"/>
        </w:rPr>
        <w:t>Material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Consumo </w:t>
      </w:r>
      <w:r>
        <w:rPr>
          <w:sz w:val="24"/>
        </w:rPr>
        <w:t>(R$ 1,13 milhão) </w:t>
      </w:r>
      <w:r>
        <w:rPr>
          <w:b/>
          <w:sz w:val="24"/>
        </w:rPr>
        <w:t>respondem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1,7%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0,4%, respectivamente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b/>
          <w:sz w:val="24"/>
        </w:rPr>
        <w:t>aportes ao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Fundo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Apoio</w:t>
      </w:r>
      <w:r>
        <w:rPr>
          <w:b/>
          <w:spacing w:val="-5"/>
          <w:sz w:val="24"/>
        </w:rPr>
        <w:t> </w:t>
      </w:r>
      <w:r>
        <w:rPr>
          <w:sz w:val="24"/>
        </w:rPr>
        <w:t>totalizam</w:t>
      </w:r>
      <w:r>
        <w:rPr>
          <w:spacing w:val="-4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2,85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milhões,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ou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0,9%;</w:t>
      </w:r>
      <w:r>
        <w:rPr>
          <w:b/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ao</w:t>
      </w:r>
      <w:r>
        <w:rPr>
          <w:spacing w:val="-6"/>
          <w:sz w:val="24"/>
        </w:rPr>
        <w:t> </w:t>
      </w:r>
      <w:r>
        <w:rPr>
          <w:b/>
          <w:sz w:val="24"/>
        </w:rPr>
        <w:t>Centro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Serviço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Compartilhado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CSC </w:t>
      </w:r>
      <w:r>
        <w:rPr>
          <w:sz w:val="24"/>
        </w:rPr>
        <w:t>montam em </w:t>
      </w:r>
      <w:r>
        <w:rPr>
          <w:b/>
          <w:sz w:val="24"/>
        </w:rPr>
        <w:t>R$ 13,19 milhões, ou 4,1%; </w:t>
      </w:r>
      <w:r>
        <w:rPr>
          <w:sz w:val="24"/>
        </w:rPr>
        <w:t>e a </w:t>
      </w:r>
      <w:r>
        <w:rPr>
          <w:b/>
          <w:sz w:val="24"/>
        </w:rPr>
        <w:t>Reserva de Contingência R$ 1,41 milhão, ou 0,4% </w:t>
      </w:r>
      <w:r>
        <w:rPr>
          <w:sz w:val="24"/>
        </w:rPr>
        <w:t>do total das aplicações, conforme Quadro 5 e detalhado, por CAU/UF e CAU/BR, no Anexo 4.</w:t>
      </w:r>
    </w:p>
    <w:p>
      <w:pPr>
        <w:pStyle w:val="BodyText"/>
        <w:spacing w:line="360" w:lineRule="auto" w:before="161"/>
        <w:ind w:left="118" w:right="165" w:firstLine="851"/>
        <w:jc w:val="both"/>
      </w:pPr>
      <w:r>
        <w:rPr/>
        <w:t>Os recursos a serem aplicados pelo CAU/BR são da ordem de R$ 82,40 milhões, representando 25,7%</w:t>
      </w:r>
      <w:r>
        <w:rPr>
          <w:spacing w:val="-1"/>
        </w:rPr>
        <w:t> </w:t>
      </w:r>
      <w:r>
        <w:rPr/>
        <w:t>do total (R$ 320,86 milhões). Os CAU/UF respondem por R$ 238,46 milhões, ou 74,3%. O detalhamento por CAU/UF e CAU/BR consta do Anexo 4. A composição se apresenta nos Quadros 5 e 5.1.</w:t>
      </w:r>
    </w:p>
    <w:p>
      <w:pPr>
        <w:pStyle w:val="BodyText"/>
        <w:spacing w:line="360" w:lineRule="auto" w:before="161"/>
        <w:ind w:left="118" w:right="168" w:firstLine="851"/>
        <w:jc w:val="both"/>
      </w:pPr>
      <w:r>
        <w:rPr/>
        <w:t>Dos limites de utilização dos recursos de Receitas Correntes destinados a despesas com Pessoal, Encargos e Benefícios por CAU/UF e CAU/BR a composição encontra-se no Anexo 5.</w:t>
      </w:r>
    </w:p>
    <w:p>
      <w:pPr>
        <w:spacing w:after="0" w:line="360" w:lineRule="auto"/>
        <w:jc w:val="both"/>
        <w:sectPr>
          <w:pgSz w:w="11910" w:h="16840"/>
          <w:pgMar w:header="689" w:footer="261" w:top="1580" w:bottom="460" w:left="1300" w:right="680"/>
        </w:sectPr>
      </w:pPr>
    </w:p>
    <w:p>
      <w:pPr>
        <w:spacing w:before="13"/>
        <w:ind w:left="0" w:right="170" w:firstLine="0"/>
        <w:jc w:val="right"/>
        <w:rPr>
          <w:b/>
          <w:sz w:val="22"/>
        </w:rPr>
      </w:pPr>
      <w:bookmarkStart w:name="_bookmark14" w:id="15"/>
      <w:bookmarkEnd w:id="15"/>
      <w:r>
        <w:rPr/>
      </w:r>
      <w:r>
        <w:rPr>
          <w:b/>
          <w:sz w:val="22"/>
        </w:rPr>
        <w:t>Quadro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Objetivo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Estratégico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CAU/BR</w:t>
      </w:r>
    </w:p>
    <w:p>
      <w:pPr>
        <w:spacing w:before="1"/>
        <w:ind w:left="0" w:right="141" w:firstLine="0"/>
        <w:jc w:val="right"/>
        <w:rPr>
          <w:sz w:val="20"/>
        </w:rPr>
      </w:pPr>
      <w:r>
        <w:rPr>
          <w:sz w:val="20"/>
        </w:rPr>
        <w:t>(Valores</w:t>
      </w:r>
      <w:r>
        <w:rPr>
          <w:spacing w:val="-7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R$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1,00)</w:t>
      </w:r>
    </w:p>
    <w:p>
      <w:pPr>
        <w:spacing w:after="0"/>
        <w:jc w:val="right"/>
        <w:rPr>
          <w:sz w:val="20"/>
        </w:rPr>
        <w:sectPr>
          <w:pgSz w:w="11910" w:h="16840"/>
          <w:pgMar w:header="689" w:footer="261" w:top="1580" w:bottom="460" w:left="1300" w:right="680"/>
        </w:sectPr>
      </w:pPr>
    </w:p>
    <w:p>
      <w:pPr>
        <w:pStyle w:val="BodyText"/>
        <w:spacing w:before="8" w:after="1"/>
        <w:rPr>
          <w:sz w:val="23"/>
        </w:rPr>
      </w:pPr>
      <w:r>
        <w:rPr/>
        <w:pict>
          <v:group style="position:absolute;margin-left:70.900002pt;margin-top:105.373894pt;width:481.85pt;height:229.1pt;mso-position-horizontal-relative:page;mso-position-vertical-relative:page;z-index:-16962048" id="docshapegroup42" coordorigin="1418,2107" coordsize="9637,4582">
            <v:shape style="position:absolute;left:1423;top:2113;width:9621;height:858" id="docshape43" coordorigin="1423,2114" coordsize="9621,858" path="m1423,2114l1423,2972,9239,2972,11044,2114,1423,2114xe" filled="true" fillcolor="#602041" stroked="false">
              <v:path arrowok="t"/>
              <v:fill type="solid"/>
            </v:shape>
            <v:shape style="position:absolute;left:1423;top:2108;width:9632;height:292" id="docshape44" coordorigin="1423,2108" coordsize="9632,292" path="m10465,2389l3996,2389,3996,2400,10442,2400,10465,2389xm11055,2108l1423,2108,1423,2114,11044,2114,11055,2108xe" filled="true" fillcolor="#ebc5d9" stroked="false">
              <v:path arrowok="t"/>
              <v:fill type="solid"/>
            </v:shape>
            <v:shape style="position:absolute;left:1423;top:2966;width:7827;height:2865" id="docshape45" coordorigin="1423,2966" coordsize="7827,2865" path="m4438,5254l1423,5254,1423,5831,3223,5831,4438,5254xm7446,3824l1423,3824,1423,4401,6231,4401,7446,3824xm9250,2966l1423,2966,1423,3257,8638,3257,9250,2966xe" filled="true" fillcolor="#f9d1e3" stroked="false">
              <v:path arrowok="t"/>
              <v:fill type="solid"/>
            </v:shape>
            <v:shape style="position:absolute;left:1423;top:5825;width:1812;height:292" id="docshape46" coordorigin="1423,5826" coordsize="1812,292" path="m3234,5826l1423,5826,1423,6117,2621,6117,3234,5826xe" filled="true" fillcolor="#602041" stroked="false">
              <v:path arrowok="t"/>
              <v:fill type="solid"/>
            </v:shape>
            <v:shape style="position:absolute;left:1423;top:6397;width:608;height:289" id="docshape47" coordorigin="1423,6398" coordsize="608,289" path="m2031,6398l1423,6398,1423,6687,2031,6398xe" filled="true" fillcolor="#602041" stroked="false">
              <v:path arrowok="t"/>
              <v:fill type="solid"/>
            </v:shape>
            <v:shape style="position:absolute;left:1417;top:2107;width:2578;height:4582" id="docshape48" coordorigin="1418,2107" coordsize="2578,4582" path="m1441,6678l1423,6678,1423,2107,1418,2107,1418,6687,1418,6689,1420,6689,1420,6687,1423,6687,1423,6687,1441,6678xm3996,2114l3985,2114,3985,5469,3996,5464,3996,2114xe" filled="true" fillcolor="#ebc5d9" stroked="false">
              <v:path arrowok="t"/>
              <v:fill type="solid"/>
            </v:shape>
            <v:shape style="position:absolute;left:6827;top:2190;width:1408;height:157" type="#_x0000_t202" id="docshape49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EBC5D9"/>
                        <w:spacing w:val="-2"/>
                        <w:w w:val="105"/>
                        <w:sz w:val="15"/>
                      </w:rPr>
                      <w:t>Reprogramação</w:t>
                    </w:r>
                    <w:r>
                      <w:rPr>
                        <w:b/>
                        <w:color w:val="EBC5D9"/>
                        <w:spacing w:val="12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EBC5D9"/>
                        <w:spacing w:val="-4"/>
                        <w:w w:val="105"/>
                        <w:sz w:val="15"/>
                      </w:rPr>
                      <w:t>2022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4"/>
        <w:gridCol w:w="1237"/>
        <w:gridCol w:w="540"/>
        <w:gridCol w:w="1144"/>
        <w:gridCol w:w="540"/>
        <w:gridCol w:w="1241"/>
        <w:gridCol w:w="562"/>
        <w:gridCol w:w="992"/>
      </w:tblGrid>
      <w:tr>
        <w:trPr>
          <w:trHeight w:val="270" w:hRule="atLeast"/>
        </w:trPr>
        <w:tc>
          <w:tcPr>
            <w:tcW w:w="2574" w:type="dxa"/>
          </w:tcPr>
          <w:p>
            <w:pPr>
              <w:pStyle w:val="TableParagraph"/>
              <w:spacing w:before="49"/>
              <w:ind w:left="854"/>
              <w:jc w:val="left"/>
              <w:rPr>
                <w:b/>
                <w:sz w:val="15"/>
              </w:rPr>
            </w:pPr>
            <w:bookmarkStart w:name="_bookmark15" w:id="16"/>
            <w:bookmarkEnd w:id="16"/>
            <w:r>
              <w:rPr/>
            </w:r>
            <w:r>
              <w:rPr>
                <w:b/>
                <w:color w:val="EBC5D9"/>
                <w:spacing w:val="-2"/>
                <w:w w:val="105"/>
                <w:sz w:val="15"/>
              </w:rPr>
              <w:t>Especificação</w:t>
            </w: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right="89"/>
              <w:rPr>
                <w:b/>
                <w:sz w:val="15"/>
              </w:rPr>
            </w:pPr>
            <w:r>
              <w:rPr>
                <w:b/>
                <w:color w:val="EBC5D9"/>
                <w:spacing w:val="-2"/>
                <w:w w:val="105"/>
                <w:sz w:val="15"/>
              </w:rPr>
              <w:t>CAU/UF</w:t>
            </w:r>
          </w:p>
        </w:tc>
        <w:tc>
          <w:tcPr>
            <w:tcW w:w="540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right="41"/>
              <w:rPr>
                <w:b/>
                <w:sz w:val="15"/>
              </w:rPr>
            </w:pPr>
            <w:r>
              <w:rPr>
                <w:b/>
                <w:color w:val="EBC5D9"/>
                <w:spacing w:val="-2"/>
                <w:w w:val="105"/>
                <w:sz w:val="15"/>
              </w:rPr>
              <w:t>CAU/BR</w:t>
            </w:r>
          </w:p>
        </w:tc>
        <w:tc>
          <w:tcPr>
            <w:tcW w:w="540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right="130"/>
              <w:rPr>
                <w:b/>
                <w:sz w:val="15"/>
              </w:rPr>
            </w:pPr>
            <w:r>
              <w:rPr>
                <w:b/>
                <w:color w:val="EBC5D9"/>
                <w:spacing w:val="-2"/>
                <w:w w:val="105"/>
                <w:sz w:val="15"/>
              </w:rPr>
              <w:t>TOTAL</w:t>
            </w:r>
          </w:p>
        </w:tc>
        <w:tc>
          <w:tcPr>
            <w:tcW w:w="562" w:type="dxa"/>
            <w:tcBorders>
              <w:top w:val="single" w:sz="6" w:space="0" w:color="EBC5D9"/>
              <w:bottom w:val="single" w:sz="6" w:space="0" w:color="EBC5D9"/>
              <w:right w:val="single" w:sz="12" w:space="0" w:color="EBC5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EBC5D9"/>
              <w:left w:val="single" w:sz="12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color w:val="EBC5D9"/>
                <w:spacing w:val="-2"/>
                <w:w w:val="105"/>
                <w:sz w:val="15"/>
              </w:rPr>
              <w:t>Participação</w:t>
            </w:r>
          </w:p>
        </w:tc>
      </w:tr>
      <w:tr>
        <w:trPr>
          <w:trHeight w:val="270" w:hRule="atLeast"/>
        </w:trPr>
        <w:tc>
          <w:tcPr>
            <w:tcW w:w="2574" w:type="dxa"/>
            <w:tcBorders>
              <w:bottom w:val="single" w:sz="6" w:space="0" w:color="EBC5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left="447" w:right="401"/>
              <w:jc w:val="center"/>
              <w:rPr>
                <w:b/>
                <w:sz w:val="15"/>
              </w:rPr>
            </w:pPr>
            <w:r>
              <w:rPr>
                <w:b/>
                <w:color w:val="EBC5D9"/>
                <w:spacing w:val="-2"/>
                <w:w w:val="105"/>
                <w:sz w:val="15"/>
              </w:rPr>
              <w:t>Valor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31"/>
              <w:rPr>
                <w:b/>
                <w:sz w:val="15"/>
              </w:rPr>
            </w:pPr>
            <w:r>
              <w:rPr>
                <w:b/>
                <w:color w:val="EBC5D9"/>
                <w:w w:val="105"/>
                <w:sz w:val="15"/>
              </w:rPr>
              <w:t>%</w:t>
            </w:r>
            <w:r>
              <w:rPr>
                <w:b/>
                <w:color w:val="EBC5D9"/>
                <w:spacing w:val="-1"/>
                <w:w w:val="105"/>
                <w:sz w:val="15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5"/>
              </w:rPr>
              <w:t>Part.</w:t>
            </w:r>
          </w:p>
        </w:tc>
        <w:tc>
          <w:tcPr>
            <w:tcW w:w="1144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left="411"/>
              <w:jc w:val="left"/>
              <w:rPr>
                <w:b/>
                <w:sz w:val="15"/>
              </w:rPr>
            </w:pPr>
            <w:r>
              <w:rPr>
                <w:b/>
                <w:color w:val="EBC5D9"/>
                <w:spacing w:val="-2"/>
                <w:w w:val="105"/>
                <w:sz w:val="15"/>
              </w:rPr>
              <w:t>Valor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32"/>
              <w:rPr>
                <w:b/>
                <w:sz w:val="15"/>
              </w:rPr>
            </w:pPr>
            <w:r>
              <w:rPr>
                <w:b/>
                <w:color w:val="EBC5D9"/>
                <w:w w:val="105"/>
                <w:sz w:val="15"/>
              </w:rPr>
              <w:t>%</w:t>
            </w:r>
            <w:r>
              <w:rPr>
                <w:b/>
                <w:color w:val="EBC5D9"/>
                <w:spacing w:val="-1"/>
                <w:w w:val="105"/>
                <w:sz w:val="15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5"/>
              </w:rPr>
              <w:t>Part.</w:t>
            </w:r>
          </w:p>
        </w:tc>
        <w:tc>
          <w:tcPr>
            <w:tcW w:w="124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left="441" w:right="404"/>
              <w:jc w:val="center"/>
              <w:rPr>
                <w:b/>
                <w:sz w:val="15"/>
              </w:rPr>
            </w:pPr>
            <w:r>
              <w:rPr>
                <w:b/>
                <w:color w:val="EBC5D9"/>
                <w:spacing w:val="-2"/>
                <w:w w:val="105"/>
                <w:sz w:val="15"/>
              </w:rPr>
              <w:t>Valor</w:t>
            </w:r>
          </w:p>
        </w:tc>
        <w:tc>
          <w:tcPr>
            <w:tcW w:w="562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12" w:space="0" w:color="EBC5D9"/>
            </w:tcBorders>
          </w:tcPr>
          <w:p>
            <w:pPr>
              <w:pStyle w:val="TableParagraph"/>
              <w:spacing w:before="49"/>
              <w:ind w:left="37"/>
              <w:jc w:val="left"/>
              <w:rPr>
                <w:b/>
                <w:sz w:val="15"/>
              </w:rPr>
            </w:pPr>
            <w:r>
              <w:rPr>
                <w:b/>
                <w:color w:val="EBC5D9"/>
                <w:w w:val="105"/>
                <w:sz w:val="15"/>
              </w:rPr>
              <w:t>%</w:t>
            </w:r>
            <w:r>
              <w:rPr>
                <w:b/>
                <w:color w:val="EBC5D9"/>
                <w:spacing w:val="-1"/>
                <w:w w:val="105"/>
                <w:sz w:val="15"/>
              </w:rPr>
              <w:t> </w:t>
            </w:r>
            <w:r>
              <w:rPr>
                <w:b/>
                <w:color w:val="EBC5D9"/>
                <w:spacing w:val="-2"/>
                <w:w w:val="105"/>
                <w:sz w:val="15"/>
              </w:rPr>
              <w:t>Part.</w:t>
            </w:r>
          </w:p>
        </w:tc>
        <w:tc>
          <w:tcPr>
            <w:tcW w:w="992" w:type="dxa"/>
            <w:tcBorders>
              <w:top w:val="single" w:sz="6" w:space="0" w:color="EBC5D9"/>
              <w:left w:val="single" w:sz="12" w:space="0" w:color="EBC5D9"/>
            </w:tcBorders>
          </w:tcPr>
          <w:p>
            <w:pPr>
              <w:pStyle w:val="TableParagraph"/>
              <w:spacing w:before="49"/>
              <w:ind w:left="45"/>
              <w:jc w:val="left"/>
              <w:rPr>
                <w:b/>
                <w:sz w:val="15"/>
              </w:rPr>
            </w:pPr>
            <w:r>
              <w:rPr>
                <w:b/>
                <w:color w:val="EBC5D9"/>
                <w:spacing w:val="-5"/>
                <w:w w:val="105"/>
                <w:sz w:val="15"/>
              </w:rPr>
              <w:t>CAU</w:t>
            </w: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2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Pessoal</w:t>
            </w: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99.958.470,34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6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41,9</w:t>
            </w:r>
          </w:p>
        </w:tc>
        <w:tc>
          <w:tcPr>
            <w:tcW w:w="1144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31.173.224,45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7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37,8</w:t>
            </w:r>
          </w:p>
        </w:tc>
        <w:tc>
          <w:tcPr>
            <w:tcW w:w="124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131.131.694,79</w:t>
            </w:r>
          </w:p>
        </w:tc>
        <w:tc>
          <w:tcPr>
            <w:tcW w:w="562" w:type="dxa"/>
            <w:tcBorders>
              <w:top w:val="single" w:sz="6" w:space="0" w:color="EBC5D9"/>
              <w:left w:val="single" w:sz="6" w:space="0" w:color="EBC5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Salários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</w:t>
            </w:r>
            <w:r>
              <w:rPr>
                <w:spacing w:val="-4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Encargos</w:t>
            </w: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98.537.648,29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6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41,3</w:t>
            </w:r>
          </w:p>
        </w:tc>
        <w:tc>
          <w:tcPr>
            <w:tcW w:w="1144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30.074.310,92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7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36,5</w:t>
            </w:r>
          </w:p>
        </w:tc>
        <w:tc>
          <w:tcPr>
            <w:tcW w:w="1241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04"/>
              <w:jc w:val="lef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128.611.95</w:t>
            </w:r>
          </w:p>
        </w:tc>
        <w:tc>
          <w:tcPr>
            <w:tcW w:w="56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Diárias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1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Funcionários</w:t>
            </w: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1.420.822,05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6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0,6</w:t>
            </w:r>
          </w:p>
        </w:tc>
        <w:tc>
          <w:tcPr>
            <w:tcW w:w="1144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1.098.913,53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7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1,3</w:t>
            </w:r>
          </w:p>
        </w:tc>
        <w:tc>
          <w:tcPr>
            <w:tcW w:w="1241" w:type="dxa"/>
            <w:tcBorders>
              <w:top w:val="single" w:sz="6" w:space="0" w:color="EBC5D9"/>
              <w:left w:val="single" w:sz="6" w:space="0" w:color="EBC5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3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Material</w:t>
            </w:r>
            <w:r>
              <w:rPr>
                <w:b/>
                <w:spacing w:val="-4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de</w:t>
            </w:r>
            <w:r>
              <w:rPr>
                <w:b/>
                <w:spacing w:val="-2"/>
                <w:w w:val="105"/>
                <w:sz w:val="15"/>
              </w:rPr>
              <w:t> Consumo</w:t>
            </w: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1.029.752,04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6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0,4</w:t>
            </w:r>
          </w:p>
        </w:tc>
        <w:tc>
          <w:tcPr>
            <w:tcW w:w="1144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97.143,00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3. Serviços</w:t>
            </w:r>
            <w:r>
              <w:rPr>
                <w:b/>
                <w:spacing w:val="2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de</w:t>
            </w:r>
            <w:r>
              <w:rPr>
                <w:b/>
                <w:spacing w:val="2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Terceiros</w:t>
            </w: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65.245.472,30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6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27,4</w:t>
            </w:r>
          </w:p>
        </w:tc>
        <w:tc>
          <w:tcPr>
            <w:tcW w:w="1144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179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31.660.4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3.1</w:t>
            </w:r>
            <w:r>
              <w:rPr>
                <w:spacing w:val="3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Diárias</w:t>
            </w:r>
            <w:r>
              <w:rPr>
                <w:spacing w:val="-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1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Terceiros</w:t>
            </w: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8.123.614,03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6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3,4</w:t>
            </w:r>
          </w:p>
        </w:tc>
        <w:tc>
          <w:tcPr>
            <w:tcW w:w="4479" w:type="dxa"/>
            <w:gridSpan w:val="5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3.2</w:t>
            </w:r>
            <w:r>
              <w:rPr>
                <w:spacing w:val="36"/>
                <w:w w:val="105"/>
                <w:sz w:val="15"/>
              </w:rPr>
              <w:t> </w:t>
            </w:r>
            <w:r>
              <w:rPr>
                <w:spacing w:val="-2"/>
                <w:w w:val="105"/>
                <w:sz w:val="15"/>
              </w:rPr>
              <w:t>Passagens</w:t>
            </w: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  <w:right w:val="single" w:sz="6" w:space="0" w:color="EBC5D9"/>
            </w:tcBorders>
          </w:tcPr>
          <w:p>
            <w:pPr>
              <w:pStyle w:val="TableParagraph"/>
              <w:spacing w:before="49"/>
              <w:ind w:right="1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5.742.039,03</w:t>
            </w:r>
          </w:p>
        </w:tc>
        <w:tc>
          <w:tcPr>
            <w:tcW w:w="540" w:type="dxa"/>
            <w:tcBorders>
              <w:top w:val="single" w:sz="6" w:space="0" w:color="EBC5D9"/>
              <w:left w:val="single" w:sz="6" w:space="0" w:color="EBC5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7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3.3</w:t>
            </w:r>
            <w:r>
              <w:rPr>
                <w:spacing w:val="2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Serviços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Prestados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–</w:t>
            </w:r>
            <w:r>
              <w:rPr>
                <w:spacing w:val="-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PJ</w:t>
            </w:r>
            <w:r>
              <w:rPr>
                <w:spacing w:val="-5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</w:t>
            </w:r>
            <w:r>
              <w:rPr>
                <w:spacing w:val="-5"/>
                <w:w w:val="105"/>
                <w:sz w:val="15"/>
              </w:rPr>
              <w:t> PF</w:t>
            </w:r>
          </w:p>
        </w:tc>
        <w:tc>
          <w:tcPr>
            <w:tcW w:w="1237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91"/>
              <w:jc w:val="lef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51.379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7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5.</w:t>
            </w:r>
            <w:r>
              <w:rPr>
                <w:b/>
                <w:spacing w:val="-6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Transferências</w:t>
            </w:r>
            <w:r>
              <w:rPr>
                <w:b/>
                <w:spacing w:val="-4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Correntes</w:t>
            </w:r>
          </w:p>
        </w:tc>
        <w:tc>
          <w:tcPr>
            <w:tcW w:w="1237" w:type="dxa"/>
            <w:tcBorders>
              <w:top w:val="single" w:sz="6" w:space="0" w:color="EBC5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7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6.</w:t>
            </w:r>
            <w:r>
              <w:rPr>
                <w:b/>
                <w:spacing w:val="-2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Encargos</w:t>
            </w:r>
            <w:r>
              <w:rPr>
                <w:b/>
                <w:spacing w:val="-1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Diversos</w:t>
            </w:r>
          </w:p>
        </w:tc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7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b/>
                <w:sz w:val="15"/>
              </w:rPr>
            </w:pPr>
            <w:r>
              <w:rPr>
                <w:b/>
                <w:color w:val="EBC5D9"/>
                <w:w w:val="105"/>
                <w:sz w:val="15"/>
              </w:rPr>
              <w:t>Soma</w:t>
            </w:r>
            <w:r>
              <w:rPr>
                <w:b/>
                <w:color w:val="EBC5D9"/>
                <w:spacing w:val="-2"/>
                <w:w w:val="105"/>
                <w:sz w:val="15"/>
              </w:rPr>
              <w:t> Custeio</w:t>
            </w:r>
          </w:p>
        </w:tc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7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574" w:type="dxa"/>
            <w:tcBorders>
              <w:top w:val="single" w:sz="6" w:space="0" w:color="EBC5D9"/>
              <w:bottom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7.</w:t>
            </w:r>
            <w:r>
              <w:rPr>
                <w:b/>
                <w:spacing w:val="2"/>
                <w:w w:val="105"/>
                <w:sz w:val="15"/>
              </w:rPr>
              <w:t> </w:t>
            </w:r>
            <w:r>
              <w:rPr>
                <w:b/>
                <w:spacing w:val="-2"/>
                <w:w w:val="105"/>
                <w:sz w:val="15"/>
              </w:rPr>
              <w:t>Imobilizado</w:t>
            </w:r>
          </w:p>
        </w:tc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7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2574" w:type="dxa"/>
            <w:tcBorders>
              <w:top w:val="single" w:sz="6" w:space="0" w:color="EBC5D9"/>
            </w:tcBorders>
          </w:tcPr>
          <w:p>
            <w:pPr>
              <w:pStyle w:val="TableParagraph"/>
              <w:spacing w:before="49"/>
              <w:ind w:left="24"/>
              <w:jc w:val="left"/>
              <w:rPr>
                <w:b/>
                <w:sz w:val="15"/>
              </w:rPr>
            </w:pPr>
            <w:r>
              <w:rPr>
                <w:b/>
                <w:color w:val="EBC5D9"/>
                <w:spacing w:val="-4"/>
                <w:w w:val="105"/>
                <w:sz w:val="15"/>
              </w:rPr>
              <w:t>Tota</w:t>
            </w:r>
          </w:p>
        </w:tc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7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2"/>
          <w:footerReference w:type="default" r:id="rId13"/>
          <w:pgSz w:w="11910" w:h="16840"/>
          <w:pgMar w:header="689" w:footer="261" w:top="2100" w:bottom="460" w:left="1300" w:right="6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4.098633pt;margin-top:390.389008pt;width:39.5pt;height:16pt;mso-position-horizontal-relative:page;mso-position-vertical-relative:page;z-index:-16960512" id="docshape51" coordorigin="1282,7808" coordsize="790,320" path="m2071,7808l1282,7808,1282,8128,2071,7808xe" filled="true" fillcolor="#602041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57"/>
        <w:ind w:left="0" w:right="703" w:firstLine="0"/>
        <w:jc w:val="righ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ragraph">
              <wp:posOffset>-539892</wp:posOffset>
            </wp:positionV>
            <wp:extent cx="10687684" cy="5661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56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6" w:id="17"/>
      <w:bookmarkEnd w:id="17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5.1.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Elementos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Região</w:t>
      </w:r>
    </w:p>
    <w:p>
      <w:pPr>
        <w:spacing w:before="0"/>
        <w:ind w:left="0" w:right="760" w:firstLine="0"/>
        <w:jc w:val="right"/>
        <w:rPr>
          <w:sz w:val="20"/>
        </w:rPr>
      </w:pPr>
      <w:r>
        <w:rPr/>
        <w:pict>
          <v:group style="position:absolute;margin-left:64.098618pt;margin-top:12.194569pt;width:741.65pt;height:237.8pt;mso-position-horizontal-relative:page;mso-position-vertical-relative:paragraph;z-index:-16961024" id="docshapegroup52" coordorigin="1282,244" coordsize="14833,4756">
            <v:shape style="position:absolute;left:1281;top:249;width:14833;height:634" id="docshape53" coordorigin="1282,250" coordsize="14833,634" path="m16114,250l1282,250,1282,883,14553,883,16114,250xe" filled="true" fillcolor="#602041" stroked="false">
              <v:path arrowok="t"/>
              <v:fill type="solid"/>
            </v:shape>
            <v:shape style="position:absolute;left:1281;top:877;width:13286;height:1988" id="docshape54" coordorigin="1282,877" coordsize="13286,1988" path="m14567,877l11571,877,11571,1200,11571,1510,11571,1516,11571,1827,10334,1827,10334,1516,10334,1510,10334,1200,11571,1200,11571,877,9665,877,9665,1200,9665,1510,9665,1516,9665,1827,8332,1827,8332,1516,8332,1510,8332,1200,9665,1200,9665,877,7681,877,7681,1200,7681,1510,7681,1516,7681,1827,6444,1827,6444,1516,6444,1510,6444,1200,7681,1200,7681,877,1282,877,1282,1200,5775,1200,5775,1510,5775,1516,5775,1827,1282,1827,1282,2466,5775,2466,5775,2783,6444,2783,6444,2466,7681,2466,7681,2783,8332,2783,8332,2466,9665,2466,9665,2777,9665,2783,9665,2865,9881,2777,10334,2593,10334,2466,10648,2466,12209,1833,12258,1813,12258,1516,12258,1510,12258,1200,13495,1200,13495,1312,13771,1200,14567,877xe" filled="true" fillcolor="#f9d1e3" stroked="false">
              <v:path arrowok="t"/>
              <v:fill type="solid"/>
            </v:shape>
            <v:shape style="position:absolute;left:1281;top:554;width:14081;height:2229" id="docshape55" coordorigin="1282,555" coordsize="14081,2229" path="m9896,2771l1282,2771,1282,2783,9866,2783,9896,2771xm10677,2454l1282,2454,1282,2466,10648,2466,10677,2454xm11458,2138l1282,2138,1282,2150,11428,2150,11458,2138xm12239,1821l1282,1821,1282,1833,12209,1833,12239,1821xm13020,1504l1282,1504,1282,1516,12991,1516,13020,1504xm13801,1188l1282,1188,1282,1200,13771,1200,13801,1188xm14582,871l1282,871,1282,883,14553,883,14582,871xm15363,555l4485,555,4485,567,15333,567,15363,555xe" filled="true" fillcolor="#ffffff" stroked="false">
              <v:path arrowok="t"/>
              <v:fill type="solid"/>
            </v:shape>
            <v:shape style="position:absolute;left:1281;top:3093;width:7051;height:956" id="docshape56" coordorigin="1282,3094" coordsize="7051,956" path="m8332,3094l7681,3094,7681,3410,1282,3410,1282,4049,6743,4049,8319,3410,8332,3405,8332,3094xe" filled="true" fillcolor="#f9d1e3" stroked="false">
              <v:path arrowok="t"/>
              <v:fill type="solid"/>
            </v:shape>
            <v:shape style="position:absolute;left:1281;top:4043;width:5476;height:323" id="docshape57" coordorigin="1282,4043" coordsize="5476,323" path="m6757,4043l1282,4043,1282,4366,5962,4366,6757,4043xe" filled="true" fillcolor="#602041" stroked="false">
              <v:path arrowok="t"/>
              <v:fill type="solid"/>
            </v:shape>
            <v:rect style="position:absolute;left:5781;top:4079;width:6;height:6" id="docshape58" filled="true" fillcolor="#008000" stroked="false">
              <v:fill type="solid"/>
            </v:rect>
            <v:shape style="position:absolute;left:5775;top:4360;width:201;height:82" id="docshape59" coordorigin="5775,4360" coordsize="201,82" path="m5976,4360l5775,4360,5775,4442,5976,4360xe" filled="true" fillcolor="#f9d1e3" stroked="false">
              <v:path arrowok="t"/>
              <v:fill type="solid"/>
            </v:shape>
            <v:shape style="position:absolute;left:1281;top:3087;width:7834;height:12" id="docshape60" coordorigin="1282,3088" coordsize="7834,12" path="m9115,3088l1282,3088,1282,3100,9086,3100,9115,3088xe" filled="true" fillcolor="#ffffff" stroked="false">
              <v:path arrowok="t"/>
              <v:fill type="solid"/>
            </v:shape>
            <v:shape style="position:absolute;left:1281;top:4676;width:3914;height:323" id="docshape61" coordorigin="1282,4677" coordsize="3914,323" path="m5195,4677l1282,4677,1282,4999,4400,4999,5195,4677xe" filled="true" fillcolor="#602041" stroked="false">
              <v:path arrowok="t"/>
              <v:fill type="solid"/>
            </v:shape>
            <v:shape style="position:absolute;left:4472;top:243;width:9674;height:4726" id="docshape62" coordorigin="4473,244" coordsize="9674,4726" path="m4485,244l4473,244,4473,4970,4485,4965,4485,244xm5781,567l5769,567,5769,4444,5781,4439,5781,567xm6444,244l6433,244,6433,4175,6444,4170,6444,244xm7687,567l7675,567,7675,3671,7687,3667,7687,567xm8332,244l8320,244,8320,3410,8332,3405,8332,244xm9671,567l9659,567,9659,2867,9671,2862,9671,567xm10334,244l10322,244,10322,2598,10334,2593,10334,244xm11577,567l11565,567,11565,2094,11577,2089,11577,567xm12258,244l12246,244,12246,1818,12258,1813,12258,244xm13501,567l13489,567,13489,1314,13501,1309,13501,567xm14146,244l14134,244,14134,1053,14146,1048,14146,244xe" filled="true" fillcolor="#ffffff" stroked="false">
              <v:path arrowok="t"/>
              <v:fill type="solid"/>
            </v:shape>
            <v:shape style="position:absolute;left:1305;top:968;width:1836;height:1757" type="#_x0000_t202" id="docshape63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179" w:val="left" w:leader="none"/>
                      </w:tabs>
                      <w:spacing w:line="176" w:lineRule="exact" w:before="0"/>
                      <w:ind w:left="178" w:right="0" w:hanging="179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17"/>
                      </w:rPr>
                      <w:t>Pessoal</w:t>
                    </w:r>
                  </w:p>
                  <w:p>
                    <w:pPr>
                      <w:numPr>
                        <w:ilvl w:val="1"/>
                        <w:numId w:val="4"/>
                      </w:numPr>
                      <w:tabs>
                        <w:tab w:pos="305" w:val="left" w:leader="none"/>
                      </w:tabs>
                      <w:spacing w:before="109"/>
                      <w:ind w:left="304" w:right="0" w:hanging="305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Salários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e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-2"/>
                        <w:sz w:val="17"/>
                      </w:rPr>
                      <w:t>Encargos</w:t>
                    </w:r>
                  </w:p>
                  <w:p>
                    <w:pPr>
                      <w:numPr>
                        <w:ilvl w:val="1"/>
                        <w:numId w:val="4"/>
                      </w:numPr>
                      <w:tabs>
                        <w:tab w:pos="305" w:val="left" w:leader="none"/>
                      </w:tabs>
                      <w:spacing w:before="109"/>
                      <w:ind w:left="304" w:right="0" w:hanging="305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Diárias</w:t>
                    </w:r>
                    <w:r>
                      <w:rPr>
                        <w:spacing w:val="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9"/>
                        <w:sz w:val="17"/>
                      </w:rPr>
                      <w:t> </w:t>
                    </w:r>
                    <w:r>
                      <w:rPr>
                        <w:spacing w:val="-2"/>
                        <w:sz w:val="17"/>
                      </w:rPr>
                      <w:t>Funcionários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79" w:val="left" w:leader="none"/>
                      </w:tabs>
                      <w:spacing w:before="109"/>
                      <w:ind w:left="178" w:right="0" w:hanging="179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Material</w:t>
                    </w:r>
                    <w:r>
                      <w:rPr>
                        <w:b/>
                        <w:spacing w:val="5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de</w:t>
                    </w:r>
                    <w:r>
                      <w:rPr>
                        <w:b/>
                        <w:spacing w:val="8"/>
                        <w:sz w:val="17"/>
                      </w:rPr>
                      <w:t> </w:t>
                    </w:r>
                    <w:r>
                      <w:rPr>
                        <w:b/>
                        <w:spacing w:val="-2"/>
                        <w:sz w:val="17"/>
                      </w:rPr>
                      <w:t>Consumo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79" w:val="left" w:leader="none"/>
                      </w:tabs>
                      <w:spacing w:before="109"/>
                      <w:ind w:left="178" w:right="0" w:hanging="179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Serviços</w:t>
                    </w:r>
                    <w:r>
                      <w:rPr>
                        <w:b/>
                        <w:spacing w:val="1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de</w:t>
                    </w:r>
                    <w:r>
                      <w:rPr>
                        <w:b/>
                        <w:spacing w:val="15"/>
                        <w:sz w:val="17"/>
                      </w:rPr>
                      <w:t> </w:t>
                    </w:r>
                    <w:r>
                      <w:rPr>
                        <w:b/>
                        <w:spacing w:val="-2"/>
                        <w:sz w:val="17"/>
                      </w:rPr>
                      <w:t>Terceiros</w:t>
                    </w:r>
                  </w:p>
                  <w:p>
                    <w:pPr>
                      <w:numPr>
                        <w:ilvl w:val="1"/>
                        <w:numId w:val="5"/>
                      </w:numPr>
                      <w:tabs>
                        <w:tab w:pos="304" w:val="left" w:leader="none"/>
                      </w:tabs>
                      <w:spacing w:line="205" w:lineRule="exact" w:before="109"/>
                      <w:ind w:left="303" w:right="0" w:hanging="304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Diárias</w:t>
                    </w:r>
                    <w:r>
                      <w:rPr>
                        <w:spacing w:val="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9"/>
                        <w:sz w:val="17"/>
                      </w:rPr>
                      <w:t> </w:t>
                    </w:r>
                    <w:r>
                      <w:rPr>
                        <w:spacing w:val="-2"/>
                        <w:sz w:val="17"/>
                      </w:rPr>
                      <w:t>Terceiros</w:t>
                    </w:r>
                  </w:p>
                </w:txbxContent>
              </v:textbox>
              <w10:wrap type="none"/>
            </v:shape>
            <v:shape style="position:absolute;left:4805;top:334;width:3478;height:2390" type="#_x0000_t202" id="docshape64" filled="false" stroked="false">
              <v:textbox inset="0,0,0,0">
                <w:txbxContent>
                  <w:p>
                    <w:pPr>
                      <w:tabs>
                        <w:tab w:pos="2241" w:val="left" w:leader="none"/>
                      </w:tabs>
                      <w:spacing w:line="176" w:lineRule="exact" w:before="0"/>
                      <w:ind w:left="443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Norte</w:t>
                    </w:r>
                    <w:r>
                      <w:rPr>
                        <w:b/>
                        <w:color w:val="EBC5D9"/>
                        <w:sz w:val="17"/>
                      </w:rPr>
                      <w:tab/>
                    </w: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Nordeste</w:t>
                    </w:r>
                  </w:p>
                  <w:p>
                    <w:pPr>
                      <w:tabs>
                        <w:tab w:pos="1046" w:val="left" w:leader="none"/>
                        <w:tab w:pos="1272" w:val="left" w:leader="none"/>
                        <w:tab w:pos="1817" w:val="left" w:leader="none"/>
                        <w:tab w:pos="2086" w:val="left" w:leader="none"/>
                        <w:tab w:pos="2946" w:val="left" w:leader="none"/>
                        <w:tab w:pos="3148" w:val="left" w:leader="none"/>
                      </w:tabs>
                      <w:spacing w:line="367" w:lineRule="auto" w:before="109"/>
                      <w:ind w:left="0" w:right="18" w:firstLine="15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Valor</w:t>
                    </w:r>
                    <w:r>
                      <w:rPr>
                        <w:b/>
                        <w:color w:val="EBC5D9"/>
                        <w:sz w:val="17"/>
                      </w:rPr>
                      <w:tab/>
                      <w:t>% Part.</w:t>
                      <w:tab/>
                      <w:tab/>
                    </w:r>
                    <w:r>
                      <w:rPr>
                        <w:b/>
                        <w:color w:val="EBC5D9"/>
                        <w:spacing w:val="-4"/>
                        <w:sz w:val="17"/>
                      </w:rPr>
                      <w:t>Valor</w:t>
                    </w:r>
                    <w:r>
                      <w:rPr>
                        <w:b/>
                        <w:color w:val="EBC5D9"/>
                        <w:sz w:val="17"/>
                      </w:rPr>
                      <w:tab/>
                      <w:t>%</w:t>
                    </w:r>
                    <w:r>
                      <w:rPr>
                        <w:b/>
                        <w:color w:val="EBC5D9"/>
                        <w:spacing w:val="-10"/>
                        <w:sz w:val="17"/>
                      </w:rPr>
                      <w:t> </w:t>
                    </w:r>
                    <w:r>
                      <w:rPr>
                        <w:b/>
                        <w:color w:val="EBC5D9"/>
                        <w:sz w:val="17"/>
                      </w:rPr>
                      <w:t>Part.</w:t>
                    </w:r>
                    <w:r>
                      <w:rPr>
                        <w:b/>
                        <w:color w:val="EBC5D9"/>
                        <w:spacing w:val="40"/>
                        <w:sz w:val="17"/>
                      </w:rPr>
                      <w:t> </w:t>
                    </w:r>
                    <w:r>
                      <w:rPr>
                        <w:b/>
                        <w:spacing w:val="-2"/>
                        <w:sz w:val="17"/>
                      </w:rPr>
                      <w:t>5.683.714,84</w:t>
                    </w:r>
                    <w:r>
                      <w:rPr>
                        <w:b/>
                        <w:sz w:val="17"/>
                      </w:rPr>
                      <w:tab/>
                      <w:tab/>
                    </w:r>
                    <w:r>
                      <w:rPr>
                        <w:b/>
                        <w:spacing w:val="-4"/>
                        <w:sz w:val="17"/>
                      </w:rPr>
                      <w:t>39,4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b/>
                        <w:spacing w:val="-2"/>
                        <w:sz w:val="17"/>
                      </w:rPr>
                      <w:t>11.067.605,09</w:t>
                    </w:r>
                    <w:r>
                      <w:rPr>
                        <w:b/>
                        <w:sz w:val="17"/>
                      </w:rPr>
                      <w:tab/>
                      <w:tab/>
                    </w:r>
                    <w:r>
                      <w:rPr>
                        <w:b/>
                        <w:spacing w:val="-4"/>
                        <w:sz w:val="17"/>
                      </w:rPr>
                      <w:t>35,8</w:t>
                    </w:r>
                  </w:p>
                  <w:p>
                    <w:pPr>
                      <w:tabs>
                        <w:tab w:pos="1272" w:val="left" w:leader="none"/>
                        <w:tab w:pos="1828" w:val="left" w:leader="none"/>
                        <w:tab w:pos="3148" w:val="left" w:leader="none"/>
                      </w:tabs>
                      <w:spacing w:line="206" w:lineRule="exact" w:before="0"/>
                      <w:ind w:left="11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5.427.839,41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spacing w:val="-4"/>
                        <w:sz w:val="17"/>
                      </w:rPr>
                      <w:t>37,6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spacing w:val="-2"/>
                        <w:sz w:val="17"/>
                      </w:rPr>
                      <w:t>10.618.806,29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spacing w:val="-4"/>
                        <w:sz w:val="17"/>
                      </w:rPr>
                      <w:t>34,3</w:t>
                    </w:r>
                  </w:p>
                  <w:p>
                    <w:pPr>
                      <w:tabs>
                        <w:tab w:pos="1212" w:val="left" w:leader="none"/>
                        <w:tab w:pos="1905" w:val="left" w:leader="none"/>
                        <w:tab w:pos="3088" w:val="left" w:leader="none"/>
                      </w:tabs>
                      <w:spacing w:before="109"/>
                      <w:ind w:left="0" w:right="22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255.875,43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spacing w:val="-5"/>
                        <w:sz w:val="17"/>
                      </w:rPr>
                      <w:t>1,8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spacing w:val="-2"/>
                        <w:sz w:val="17"/>
                      </w:rPr>
                      <w:t>448.798,80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spacing w:val="-5"/>
                        <w:sz w:val="17"/>
                      </w:rPr>
                      <w:t>1,5</w:t>
                    </w:r>
                  </w:p>
                  <w:p>
                    <w:pPr>
                      <w:tabs>
                        <w:tab w:pos="1218" w:val="left" w:leader="none"/>
                        <w:tab w:pos="1906" w:val="left" w:leader="none"/>
                        <w:tab w:pos="3094" w:val="left" w:leader="none"/>
                      </w:tabs>
                      <w:spacing w:before="109"/>
                      <w:ind w:left="0" w:right="22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17"/>
                      </w:rPr>
                      <w:t>140.831,67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b/>
                        <w:spacing w:val="-5"/>
                        <w:sz w:val="17"/>
                      </w:rPr>
                      <w:t>1,0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b/>
                        <w:spacing w:val="-2"/>
                        <w:sz w:val="17"/>
                      </w:rPr>
                      <w:t>166.513,21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b/>
                        <w:spacing w:val="-5"/>
                        <w:sz w:val="17"/>
                      </w:rPr>
                      <w:t>0,5</w:t>
                    </w:r>
                  </w:p>
                  <w:p>
                    <w:pPr>
                      <w:tabs>
                        <w:tab w:pos="1272" w:val="left" w:leader="none"/>
                        <w:tab w:pos="1906" w:val="left" w:leader="none"/>
                        <w:tab w:pos="3148" w:val="left" w:leader="none"/>
                      </w:tabs>
                      <w:spacing w:before="109"/>
                      <w:ind w:left="0" w:right="18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17"/>
                      </w:rPr>
                      <w:t>3.989.340,04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b/>
                        <w:spacing w:val="-4"/>
                        <w:sz w:val="17"/>
                      </w:rPr>
                      <w:t>27,6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b/>
                        <w:spacing w:val="-2"/>
                        <w:sz w:val="17"/>
                      </w:rPr>
                      <w:t>8.831.514,74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b/>
                        <w:spacing w:val="-4"/>
                        <w:sz w:val="17"/>
                      </w:rPr>
                      <w:t>28,6</w:t>
                    </w:r>
                  </w:p>
                  <w:p>
                    <w:pPr>
                      <w:tabs>
                        <w:tab w:pos="1357" w:val="left" w:leader="none"/>
                        <w:tab w:pos="2050" w:val="left" w:leader="none"/>
                        <w:tab w:pos="3233" w:val="left" w:leader="none"/>
                      </w:tabs>
                      <w:spacing w:line="205" w:lineRule="exact" w:before="109"/>
                      <w:ind w:left="144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413.711,69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spacing w:val="-5"/>
                        <w:sz w:val="17"/>
                      </w:rPr>
                      <w:t>2,9</w:t>
                    </w:r>
                    <w:r>
                      <w:rPr>
                        <w:b/>
                        <w:sz w:val="17"/>
                      </w:rPr>
                      <w:tab/>
                    </w:r>
                    <w:r>
                      <w:rPr>
                        <w:spacing w:val="-2"/>
                        <w:sz w:val="17"/>
                      </w:rPr>
                      <w:t>625.502,74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spacing w:val="-5"/>
                        <w:sz w:val="17"/>
                      </w:rPr>
                      <w:t>2,0</w:t>
                    </w:r>
                  </w:p>
                </w:txbxContent>
              </v:textbox>
              <w10:wrap type="none"/>
            </v:shape>
            <v:shape style="position:absolute;left:8606;top:334;width:1054;height:2707" type="#_x0000_t202" id="docshape65" filled="false" stroked="false">
              <v:textbox inset="0,0,0,0">
                <w:txbxContent>
                  <w:p>
                    <w:pPr>
                      <w:spacing w:line="176" w:lineRule="exact" w:before="0"/>
                      <w:ind w:left="431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Sudeste</w:t>
                    </w:r>
                  </w:p>
                  <w:p>
                    <w:pPr>
                      <w:spacing w:line="367" w:lineRule="auto" w:before="109"/>
                      <w:ind w:left="0" w:right="0" w:firstLine="221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Valor</w:t>
                    </w:r>
                    <w:r>
                      <w:rPr>
                        <w:b/>
                        <w:color w:val="EBC5D9"/>
                        <w:spacing w:val="40"/>
                        <w:sz w:val="17"/>
                      </w:rPr>
                      <w:t> </w:t>
                    </w:r>
                    <w:r>
                      <w:rPr>
                        <w:b/>
                        <w:spacing w:val="-2"/>
                        <w:sz w:val="17"/>
                      </w:rPr>
                      <w:t>46.976.472,42</w:t>
                    </w:r>
                  </w:p>
                  <w:p>
                    <w:pPr>
                      <w:spacing w:line="206" w:lineRule="exact" w:before="0"/>
                      <w:ind w:left="1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46.555.514,76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420.957,66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17"/>
                      </w:rPr>
                      <w:t>373.620,44</w:t>
                    </w:r>
                  </w:p>
                  <w:p>
                    <w:pPr>
                      <w:spacing w:before="109"/>
                      <w:ind w:left="0" w:right="20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17"/>
                      </w:rPr>
                      <w:t>32.081.290,09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4.541.994,46</w:t>
                    </w:r>
                  </w:p>
                  <w:p>
                    <w:pPr>
                      <w:spacing w:line="205" w:lineRule="exact" w:before="109"/>
                      <w:ind w:left="19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.409.515,</w:t>
                    </w:r>
                  </w:p>
                </w:txbxContent>
              </v:textbox>
              <w10:wrap type="none"/>
            </v:shape>
            <v:shape style="position:absolute;left:11182;top:334;width:242;height:174" type="#_x0000_t202" id="docshape66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5"/>
                        <w:sz w:val="17"/>
                      </w:rPr>
                      <w:t>Sul</w:t>
                    </w:r>
                  </w:p>
                </w:txbxContent>
              </v:textbox>
              <w10:wrap type="none"/>
            </v:shape>
            <v:shape style="position:absolute;left:12711;top:334;width:991;height:174" type="#_x0000_t202" id="docshape67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z w:val="17"/>
                      </w:rPr>
                      <w:t>Centro-</w:t>
                    </w: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Oeste</w:t>
                    </w:r>
                  </w:p>
                </w:txbxContent>
              </v:textbox>
              <w10:wrap type="none"/>
            </v:shape>
            <v:shape style="position:absolute;left:2399;top:490;width:973;height:174" type="#_x0000_t202" id="docshape68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Especificação</w:t>
                    </w:r>
                  </w:p>
                </w:txbxContent>
              </v:textbox>
              <w10:wrap type="none"/>
            </v:shape>
            <v:shape style="position:absolute;left:9742;top:651;width:555;height:2074" type="#_x0000_t202" id="docshape69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46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z w:val="17"/>
                      </w:rPr>
                      <w:t>%</w:t>
                    </w:r>
                    <w:r>
                      <w:rPr>
                        <w:b/>
                        <w:color w:val="EBC5D9"/>
                        <w:spacing w:val="4"/>
                        <w:sz w:val="17"/>
                      </w:rPr>
                      <w:t> </w:t>
                    </w: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Part.</w:t>
                    </w:r>
                  </w:p>
                  <w:p>
                    <w:pPr>
                      <w:spacing w:before="109"/>
                      <w:ind w:left="225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4"/>
                        <w:sz w:val="17"/>
                      </w:rPr>
                      <w:t>44,9</w:t>
                    </w:r>
                  </w:p>
                  <w:p>
                    <w:pPr>
                      <w:spacing w:before="109"/>
                      <w:ind w:left="225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4"/>
                        <w:sz w:val="17"/>
                      </w:rPr>
                      <w:t>44,5</w:t>
                    </w:r>
                  </w:p>
                  <w:p>
                    <w:pPr>
                      <w:spacing w:before="109"/>
                      <w:ind w:left="31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5"/>
                        <w:sz w:val="17"/>
                      </w:rPr>
                      <w:t>0,4</w:t>
                    </w:r>
                  </w:p>
                  <w:p>
                    <w:pPr>
                      <w:spacing w:before="109"/>
                      <w:ind w:left="31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5"/>
                        <w:sz w:val="17"/>
                      </w:rPr>
                      <w:t>0,4</w:t>
                    </w:r>
                  </w:p>
                  <w:p>
                    <w:pPr>
                      <w:spacing w:before="109"/>
                      <w:ind w:left="225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4"/>
                        <w:sz w:val="17"/>
                      </w:rPr>
                      <w:t>30,6</w:t>
                    </w:r>
                  </w:p>
                  <w:p>
                    <w:pPr>
                      <w:spacing w:line="205" w:lineRule="exact" w:before="109"/>
                      <w:ind w:left="0" w:right="22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5"/>
                        <w:sz w:val="17"/>
                      </w:rPr>
                      <w:t>4,3</w:t>
                    </w:r>
                  </w:p>
                </w:txbxContent>
              </v:textbox>
              <w10:wrap type="none"/>
            </v:shape>
            <v:shape style="position:absolute;left:10512;top:651;width:1053;height:1757" type="#_x0000_t202" id="docshape70" filled="false" stroked="false">
              <v:textbox inset="0,0,0,0">
                <w:txbxContent>
                  <w:p>
                    <w:pPr>
                      <w:spacing w:line="176" w:lineRule="exact" w:before="0"/>
                      <w:ind w:left="268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Valor</w:t>
                    </w:r>
                  </w:p>
                  <w:p>
                    <w:pPr>
                      <w:spacing w:before="109"/>
                      <w:ind w:left="0" w:right="20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17"/>
                      </w:rPr>
                      <w:t>26.580.441,42</w:t>
                    </w:r>
                  </w:p>
                  <w:p>
                    <w:pPr>
                      <w:spacing w:before="109"/>
                      <w:ind w:left="0" w:right="20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26.418.216,26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162.225,16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17"/>
                      </w:rPr>
                      <w:t>272.996,72</w:t>
                    </w:r>
                  </w:p>
                  <w:p>
                    <w:pPr>
                      <w:spacing w:line="205" w:lineRule="exact" w:before="109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17"/>
                      </w:rPr>
                      <w:t>14.170</w:t>
                    </w:r>
                  </w:p>
                </w:txbxContent>
              </v:textbox>
              <w10:wrap type="none"/>
            </v:shape>
            <v:shape style="position:absolute;left:11660;top:651;width:551;height:1124" type="#_x0000_t202" id="docshape71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41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z w:val="17"/>
                      </w:rPr>
                      <w:t>%</w:t>
                    </w:r>
                    <w:r>
                      <w:rPr>
                        <w:b/>
                        <w:color w:val="EBC5D9"/>
                        <w:spacing w:val="4"/>
                        <w:sz w:val="17"/>
                      </w:rPr>
                      <w:t> </w:t>
                    </w: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Part.</w:t>
                    </w:r>
                  </w:p>
                  <w:p>
                    <w:pPr>
                      <w:spacing w:before="109"/>
                      <w:ind w:left="219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4"/>
                        <w:sz w:val="17"/>
                      </w:rPr>
                      <w:t>39,8</w:t>
                    </w:r>
                  </w:p>
                  <w:p>
                    <w:pPr>
                      <w:spacing w:before="109"/>
                      <w:ind w:left="219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4"/>
                        <w:sz w:val="17"/>
                      </w:rPr>
                      <w:t>39,6</w:t>
                    </w:r>
                  </w:p>
                  <w:p>
                    <w:pPr>
                      <w:spacing w:line="205" w:lineRule="exact" w:before="109"/>
                      <w:ind w:left="0" w:right="18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5"/>
                        <w:sz w:val="17"/>
                      </w:rPr>
                      <w:t>0,2</w:t>
                    </w:r>
                  </w:p>
                </w:txbxContent>
              </v:textbox>
              <w10:wrap type="none"/>
            </v:shape>
            <v:shape style="position:absolute;left:12526;top:651;width:961;height:807" type="#_x0000_t202" id="docshape72" filled="false" stroked="false">
              <v:textbox inset="0,0,0,0">
                <w:txbxContent>
                  <w:p>
                    <w:pPr>
                      <w:spacing w:line="176" w:lineRule="exact" w:before="0"/>
                      <w:ind w:left="179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Valor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17"/>
                      </w:rPr>
                      <w:t>9.650.236,57</w:t>
                    </w:r>
                  </w:p>
                  <w:p>
                    <w:pPr>
                      <w:spacing w:line="205" w:lineRule="exact" w:before="109"/>
                      <w:ind w:left="1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9.517.271,5</w:t>
                    </w:r>
                  </w:p>
                </w:txbxContent>
              </v:textbox>
              <w10:wrap type="none"/>
            </v:shape>
            <v:shape style="position:absolute;left:13566;top:651;width:531;height:490" type="#_x0000_t202" id="docshape73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22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z w:val="17"/>
                      </w:rPr>
                      <w:t>%</w:t>
                    </w:r>
                    <w:r>
                      <w:rPr>
                        <w:b/>
                        <w:color w:val="EBC5D9"/>
                        <w:spacing w:val="4"/>
                        <w:sz w:val="17"/>
                      </w:rPr>
                      <w:t> </w:t>
                    </w: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Part.</w:t>
                    </w:r>
                  </w:p>
                  <w:p>
                    <w:pPr>
                      <w:spacing w:line="205" w:lineRule="exact" w:before="109"/>
                      <w:ind w:left="0" w:right="18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4"/>
                        <w:sz w:val="17"/>
                      </w:rPr>
                      <w:t>44,5</w:t>
                    </w:r>
                  </w:p>
                </w:txbxContent>
              </v:textbox>
              <w10:wrap type="none"/>
            </v:shape>
            <v:shape style="position:absolute;left:14641;top:334;width:745;height:490" type="#_x0000_t202" id="docshape74" filled="false" stroked="false">
              <v:textbox inset="0,0,0,0">
                <w:txbxContent>
                  <w:p>
                    <w:pPr>
                      <w:spacing w:line="176" w:lineRule="exact" w:before="0"/>
                      <w:ind w:left="257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2"/>
                        <w:sz w:val="17"/>
                      </w:rPr>
                      <w:t>TOTAL</w:t>
                    </w:r>
                  </w:p>
                  <w:p>
                    <w:pPr>
                      <w:spacing w:line="205" w:lineRule="exact" w:before="109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BC5D9"/>
                        <w:spacing w:val="-4"/>
                        <w:sz w:val="17"/>
                      </w:rPr>
                      <w:t>Valo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(Valores</w:t>
      </w:r>
      <w:r>
        <w:rPr>
          <w:spacing w:val="-7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R$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1,00)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7"/>
        <w:gridCol w:w="1297"/>
        <w:gridCol w:w="664"/>
        <w:gridCol w:w="1243"/>
        <w:gridCol w:w="646"/>
        <w:gridCol w:w="431"/>
      </w:tblGrid>
      <w:tr>
        <w:trPr>
          <w:trHeight w:val="301" w:hRule="atLeast"/>
        </w:trPr>
        <w:tc>
          <w:tcPr>
            <w:tcW w:w="31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left="23"/>
              <w:jc w:val="left"/>
              <w:rPr>
                <w:sz w:val="17"/>
              </w:rPr>
            </w:pPr>
            <w:r>
              <w:rPr>
                <w:sz w:val="17"/>
              </w:rPr>
              <w:t>3.2</w:t>
            </w:r>
            <w:r>
              <w:rPr>
                <w:spacing w:val="48"/>
                <w:sz w:val="17"/>
              </w:rPr>
              <w:t> </w:t>
            </w:r>
            <w:r>
              <w:rPr>
                <w:spacing w:val="-2"/>
                <w:sz w:val="17"/>
              </w:rPr>
              <w:t>Passagens</w:t>
            </w:r>
          </w:p>
        </w:tc>
        <w:tc>
          <w:tcPr>
            <w:tcW w:w="12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24"/>
              <w:rPr>
                <w:sz w:val="17"/>
              </w:rPr>
            </w:pPr>
            <w:r>
              <w:rPr>
                <w:spacing w:val="-2"/>
                <w:sz w:val="17"/>
              </w:rPr>
              <w:t>541.680,26</w:t>
            </w:r>
          </w:p>
        </w:tc>
        <w:tc>
          <w:tcPr>
            <w:tcW w:w="66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9D1E3"/>
          </w:tcPr>
          <w:p>
            <w:pPr>
              <w:pStyle w:val="TableParagraph"/>
              <w:spacing w:before="51"/>
              <w:ind w:right="5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3,8</w:t>
            </w:r>
          </w:p>
        </w:tc>
        <w:tc>
          <w:tcPr>
            <w:tcW w:w="124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25"/>
              <w:rPr>
                <w:sz w:val="17"/>
              </w:rPr>
            </w:pPr>
            <w:r>
              <w:rPr>
                <w:spacing w:val="-2"/>
                <w:sz w:val="17"/>
              </w:rPr>
              <w:t>800.199,15</w:t>
            </w:r>
          </w:p>
        </w:tc>
        <w:tc>
          <w:tcPr>
            <w:tcW w:w="6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9D1E3"/>
          </w:tcPr>
          <w:p>
            <w:pPr>
              <w:pStyle w:val="TableParagraph"/>
              <w:spacing w:before="51"/>
              <w:ind w:right="68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2,6</w:t>
            </w:r>
          </w:p>
        </w:tc>
        <w:tc>
          <w:tcPr>
            <w:tcW w:w="4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-44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31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left="23"/>
              <w:jc w:val="left"/>
              <w:rPr>
                <w:sz w:val="17"/>
              </w:rPr>
            </w:pPr>
            <w:r>
              <w:rPr>
                <w:sz w:val="17"/>
              </w:rPr>
              <w:t>3.3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Serviços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Prestados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PJ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2"/>
                <w:sz w:val="17"/>
              </w:rPr>
              <w:t> </w:t>
            </w:r>
            <w:r>
              <w:rPr>
                <w:spacing w:val="-5"/>
                <w:sz w:val="17"/>
              </w:rPr>
              <w:t>PF</w:t>
            </w:r>
          </w:p>
        </w:tc>
        <w:tc>
          <w:tcPr>
            <w:tcW w:w="12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26"/>
              <w:rPr>
                <w:sz w:val="17"/>
              </w:rPr>
            </w:pPr>
            <w:r>
              <w:rPr>
                <w:spacing w:val="-2"/>
                <w:sz w:val="17"/>
              </w:rPr>
              <w:t>3.033.948,10</w:t>
            </w:r>
          </w:p>
        </w:tc>
        <w:tc>
          <w:tcPr>
            <w:tcW w:w="66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9D1E3"/>
          </w:tcPr>
          <w:p>
            <w:pPr>
              <w:pStyle w:val="TableParagraph"/>
              <w:spacing w:before="51"/>
              <w:ind w:right="50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21,0</w:t>
            </w:r>
          </w:p>
        </w:tc>
        <w:tc>
          <w:tcPr>
            <w:tcW w:w="124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27"/>
              <w:rPr>
                <w:sz w:val="17"/>
              </w:rPr>
            </w:pPr>
            <w:r>
              <w:rPr>
                <w:spacing w:val="-2"/>
                <w:sz w:val="17"/>
              </w:rPr>
              <w:t>7.405.812,85</w:t>
            </w:r>
          </w:p>
        </w:tc>
        <w:tc>
          <w:tcPr>
            <w:tcW w:w="64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6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23,9</w:t>
            </w:r>
          </w:p>
        </w:tc>
        <w:tc>
          <w:tcPr>
            <w:tcW w:w="431" w:type="dxa"/>
            <w:tcBorders>
              <w:top w:val="single" w:sz="6" w:space="0" w:color="FFFFFF"/>
            </w:tcBorders>
          </w:tcPr>
          <w:p>
            <w:pPr>
              <w:pStyle w:val="TableParagraph"/>
              <w:spacing w:before="51"/>
              <w:ind w:right="51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</w:tr>
      <w:tr>
        <w:trPr>
          <w:trHeight w:val="301" w:hRule="atLeast"/>
        </w:trPr>
        <w:tc>
          <w:tcPr>
            <w:tcW w:w="31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left="2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4.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Transferências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Correntes</w:t>
            </w:r>
          </w:p>
        </w:tc>
        <w:tc>
          <w:tcPr>
            <w:tcW w:w="12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2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82.286,58</w:t>
            </w:r>
          </w:p>
        </w:tc>
        <w:tc>
          <w:tcPr>
            <w:tcW w:w="664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5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0,6</w:t>
            </w:r>
          </w:p>
        </w:tc>
        <w:tc>
          <w:tcPr>
            <w:tcW w:w="124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2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280.441,70</w:t>
            </w:r>
          </w:p>
        </w:tc>
        <w:tc>
          <w:tcPr>
            <w:tcW w:w="646" w:type="dxa"/>
            <w:tcBorders>
              <w:top w:val="single" w:sz="6" w:space="0" w:color="FFFFF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1" w:hRule="atLeast"/>
        </w:trPr>
        <w:tc>
          <w:tcPr>
            <w:tcW w:w="31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left="2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5.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Encargos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Diversos</w:t>
            </w:r>
          </w:p>
        </w:tc>
        <w:tc>
          <w:tcPr>
            <w:tcW w:w="12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2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100.454,44</w:t>
            </w:r>
          </w:p>
        </w:tc>
        <w:tc>
          <w:tcPr>
            <w:tcW w:w="664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5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0,7</w:t>
            </w:r>
          </w:p>
        </w:tc>
        <w:tc>
          <w:tcPr>
            <w:tcW w:w="124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left="410"/>
              <w:jc w:val="left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503</w:t>
            </w: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1" w:hRule="atLeast"/>
        </w:trPr>
        <w:tc>
          <w:tcPr>
            <w:tcW w:w="31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left="23"/>
              <w:jc w:val="left"/>
              <w:rPr>
                <w:b/>
                <w:sz w:val="17"/>
              </w:rPr>
            </w:pPr>
            <w:r>
              <w:rPr>
                <w:b/>
                <w:color w:val="EBC5D9"/>
                <w:sz w:val="17"/>
              </w:rPr>
              <w:t>Soma</w:t>
            </w:r>
            <w:r>
              <w:rPr>
                <w:b/>
                <w:color w:val="EBC5D9"/>
                <w:spacing w:val="13"/>
                <w:sz w:val="17"/>
              </w:rPr>
              <w:t> </w:t>
            </w:r>
            <w:r>
              <w:rPr>
                <w:b/>
                <w:color w:val="EBC5D9"/>
                <w:spacing w:val="-2"/>
                <w:sz w:val="17"/>
              </w:rPr>
              <w:t>Custeio</w:t>
            </w:r>
          </w:p>
        </w:tc>
        <w:tc>
          <w:tcPr>
            <w:tcW w:w="1297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27"/>
              <w:rPr>
                <w:b/>
                <w:sz w:val="17"/>
              </w:rPr>
            </w:pPr>
            <w:r>
              <w:rPr>
                <w:b/>
                <w:color w:val="EBC5D9"/>
                <w:spacing w:val="-2"/>
                <w:sz w:val="17"/>
              </w:rPr>
              <w:t>9.996.627,57</w:t>
            </w:r>
          </w:p>
        </w:tc>
        <w:tc>
          <w:tcPr>
            <w:tcW w:w="664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1"/>
              <w:ind w:right="50"/>
              <w:rPr>
                <w:b/>
                <w:sz w:val="17"/>
              </w:rPr>
            </w:pPr>
            <w:r>
              <w:rPr>
                <w:b/>
                <w:color w:val="EBC5D9"/>
                <w:spacing w:val="-4"/>
                <w:sz w:val="17"/>
              </w:rPr>
              <w:t>69,3</w:t>
            </w:r>
          </w:p>
        </w:tc>
        <w:tc>
          <w:tcPr>
            <w:tcW w:w="2320" w:type="dxa"/>
            <w:gridSpan w:val="3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602" w:hRule="atLeast"/>
        </w:trPr>
        <w:tc>
          <w:tcPr>
            <w:tcW w:w="3197" w:type="dxa"/>
            <w:tcBorders>
              <w:top w:val="single" w:sz="6" w:space="0" w:color="FFFFFF"/>
            </w:tcBorders>
          </w:tcPr>
          <w:p>
            <w:pPr>
              <w:pStyle w:val="TableParagraph"/>
              <w:spacing w:before="51"/>
              <w:ind w:left="2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6.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Imobilizado</w:t>
            </w:r>
          </w:p>
          <w:p>
            <w:pPr>
              <w:pStyle w:val="TableParagraph"/>
              <w:spacing w:before="109"/>
              <w:ind w:left="23"/>
              <w:jc w:val="left"/>
              <w:rPr>
                <w:b/>
                <w:sz w:val="17"/>
              </w:rPr>
            </w:pPr>
            <w:r>
              <w:rPr>
                <w:b/>
                <w:color w:val="EBC5D9"/>
                <w:sz w:val="17"/>
              </w:rPr>
              <w:t>Total</w:t>
            </w:r>
            <w:r>
              <w:rPr>
                <w:b/>
                <w:color w:val="EBC5D9"/>
                <w:spacing w:val="5"/>
                <w:sz w:val="17"/>
              </w:rPr>
              <w:t> </w:t>
            </w:r>
            <w:r>
              <w:rPr>
                <w:b/>
                <w:color w:val="EBC5D9"/>
                <w:sz w:val="17"/>
              </w:rPr>
              <w:t>-</w:t>
            </w:r>
            <w:r>
              <w:rPr>
                <w:b/>
                <w:color w:val="EBC5D9"/>
                <w:spacing w:val="7"/>
                <w:sz w:val="17"/>
              </w:rPr>
              <w:t> </w:t>
            </w:r>
            <w:r>
              <w:rPr>
                <w:b/>
                <w:color w:val="EBC5D9"/>
                <w:sz w:val="17"/>
              </w:rPr>
              <w:t>Programação</w:t>
            </w:r>
            <w:r>
              <w:rPr>
                <w:b/>
                <w:color w:val="EBC5D9"/>
                <w:spacing w:val="8"/>
                <w:sz w:val="17"/>
              </w:rPr>
              <w:t> </w:t>
            </w:r>
            <w:r>
              <w:rPr>
                <w:b/>
                <w:color w:val="EBC5D9"/>
                <w:spacing w:val="-2"/>
                <w:sz w:val="17"/>
              </w:rPr>
              <w:t>Operacional</w:t>
            </w:r>
          </w:p>
        </w:tc>
        <w:tc>
          <w:tcPr>
            <w:tcW w:w="1297" w:type="dxa"/>
            <w:tcBorders>
              <w:top w:val="single" w:sz="6" w:space="0" w:color="FFFFFF"/>
            </w:tcBorders>
          </w:tcPr>
          <w:p>
            <w:pPr>
              <w:pStyle w:val="TableParagraph"/>
              <w:spacing w:before="51"/>
              <w:ind w:left="327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3.698.808,</w:t>
            </w:r>
          </w:p>
          <w:p>
            <w:pPr>
              <w:pStyle w:val="TableParagraph"/>
              <w:spacing w:before="109"/>
              <w:ind w:left="237"/>
              <w:jc w:val="left"/>
              <w:rPr>
                <w:b/>
                <w:sz w:val="17"/>
              </w:rPr>
            </w:pPr>
            <w:r>
              <w:rPr>
                <w:b/>
                <w:color w:val="EBC5D9"/>
                <w:w w:val="102"/>
                <w:sz w:val="17"/>
              </w:rPr>
              <w:t>1</w:t>
            </w:r>
          </w:p>
        </w:tc>
        <w:tc>
          <w:tcPr>
            <w:tcW w:w="664" w:type="dxa"/>
            <w:tcBorders>
              <w:top w:val="single" w:sz="6" w:space="0" w:color="FFFFF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3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7" w:hRule="atLeast"/>
        </w:trPr>
        <w:tc>
          <w:tcPr>
            <w:tcW w:w="3197" w:type="dxa"/>
          </w:tcPr>
          <w:p>
            <w:pPr>
              <w:pStyle w:val="TableParagraph"/>
              <w:spacing w:before="83"/>
              <w:ind w:left="2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Fundo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Apoio</w:t>
            </w:r>
          </w:p>
          <w:p>
            <w:pPr>
              <w:pStyle w:val="TableParagraph"/>
              <w:spacing w:line="367" w:lineRule="auto" w:before="109"/>
              <w:ind w:left="23" w:right="79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Centro de Serviço Compar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Reserva de Con</w:t>
            </w:r>
          </w:p>
          <w:p>
            <w:pPr>
              <w:pStyle w:val="TableParagraph"/>
              <w:spacing w:line="183" w:lineRule="exact" w:before="0"/>
              <w:ind w:left="23"/>
              <w:jc w:val="left"/>
              <w:rPr>
                <w:b/>
                <w:sz w:val="17"/>
              </w:rPr>
            </w:pPr>
            <w:r>
              <w:rPr>
                <w:b/>
                <w:color w:val="EBC5D9"/>
                <w:spacing w:val="-4"/>
                <w:sz w:val="17"/>
              </w:rPr>
              <w:t>TOTA</w:t>
            </w:r>
          </w:p>
        </w:tc>
        <w:tc>
          <w:tcPr>
            <w:tcW w:w="129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3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4"/>
          <w:footerReference w:type="default" r:id="rId15"/>
          <w:pgSz w:w="16840" w:h="11910" w:orient="landscape"/>
          <w:pgMar w:header="0" w:footer="261" w:top="680" w:bottom="460" w:left="0" w:right="0"/>
        </w:sectPr>
      </w:pPr>
    </w:p>
    <w:p>
      <w:pPr>
        <w:pStyle w:val="Heading3"/>
        <w:numPr>
          <w:ilvl w:val="0"/>
          <w:numId w:val="2"/>
        </w:numPr>
        <w:tabs>
          <w:tab w:pos="398" w:val="left" w:leader="none"/>
        </w:tabs>
        <w:spacing w:line="240" w:lineRule="auto" w:before="17" w:after="0"/>
        <w:ind w:left="397" w:right="0" w:hanging="280"/>
        <w:jc w:val="left"/>
      </w:pPr>
      <w:bookmarkStart w:name="_bookmark17" w:id="18"/>
      <w:bookmarkEnd w:id="18"/>
      <w:r>
        <w:rPr>
          <w:color w:val="602041"/>
          <w:spacing w:val="-2"/>
        </w:rPr>
        <w:t>ANE</w:t>
      </w:r>
      <w:r>
        <w:rPr>
          <w:color w:val="602041"/>
          <w:spacing w:val="-2"/>
        </w:rPr>
        <w:t>XOS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tabs>
          <w:tab w:pos="2103" w:val="left" w:leader="none"/>
        </w:tabs>
        <w:spacing w:line="360" w:lineRule="auto" w:before="172"/>
        <w:ind w:left="2103" w:right="114" w:hanging="1985"/>
      </w:pPr>
      <w:r>
        <w:rPr/>
        <w:t>Anexo 1</w:t>
        <w:tab/>
        <w:t>Demonstrativo Comparativo da Reprogramação do Plano de Ação CAU 2022 (Programação 2022 X Reprogramação 2022).</w:t>
      </w:r>
    </w:p>
    <w:p>
      <w:pPr>
        <w:pStyle w:val="BodyText"/>
        <w:tabs>
          <w:tab w:pos="2103" w:val="left" w:leader="none"/>
        </w:tabs>
        <w:spacing w:line="491" w:lineRule="auto" w:before="160"/>
        <w:ind w:left="118" w:right="1681"/>
      </w:pPr>
      <w:r>
        <w:rPr/>
        <w:t>Anexo 2</w:t>
        <w:tab/>
        <w:t>Demonstrativo das Fontes de Receitas dos CAU/UF e CAU/BR. Anexo 3</w:t>
        <w:tab/>
        <w:t>Demonstrativo</w:t>
      </w:r>
      <w:r>
        <w:rPr>
          <w:spacing w:val="-7"/>
        </w:rPr>
        <w:t> </w:t>
      </w:r>
      <w:r>
        <w:rPr/>
        <w:t>das</w:t>
      </w:r>
      <w:r>
        <w:rPr>
          <w:spacing w:val="-5"/>
        </w:rPr>
        <w:t> </w:t>
      </w:r>
      <w:r>
        <w:rPr/>
        <w:t>Aplicações</w:t>
      </w:r>
      <w:r>
        <w:rPr>
          <w:spacing w:val="-5"/>
        </w:rPr>
        <w:t> </w:t>
      </w:r>
      <w:r>
        <w:rPr/>
        <w:t>Totais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Iniciativa</w:t>
      </w:r>
      <w:r>
        <w:rPr>
          <w:spacing w:val="-6"/>
        </w:rPr>
        <w:t> </w:t>
      </w:r>
      <w:r>
        <w:rPr/>
        <w:t>Estratégica.</w:t>
      </w:r>
    </w:p>
    <w:p>
      <w:pPr>
        <w:pStyle w:val="BodyText"/>
        <w:tabs>
          <w:tab w:pos="2103" w:val="left" w:leader="none"/>
        </w:tabs>
        <w:spacing w:line="360" w:lineRule="auto"/>
        <w:ind w:left="2103" w:right="114" w:hanging="1985"/>
      </w:pPr>
      <w:r>
        <w:rPr/>
        <w:t>Anexo 3.1</w:t>
        <w:tab/>
        <w:t>Demonstrativo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Aplicações</w:t>
      </w:r>
      <w:r>
        <w:rPr>
          <w:spacing w:val="80"/>
        </w:rPr>
        <w:t> </w:t>
      </w:r>
      <w:r>
        <w:rPr/>
        <w:t>por</w:t>
      </w:r>
      <w:r>
        <w:rPr>
          <w:spacing w:val="80"/>
        </w:rPr>
        <w:t> </w:t>
      </w:r>
      <w:r>
        <w:rPr/>
        <w:t>Iniciativa</w:t>
      </w:r>
      <w:r>
        <w:rPr>
          <w:spacing w:val="40"/>
        </w:rPr>
        <w:t> </w:t>
      </w:r>
      <w:r>
        <w:rPr/>
        <w:t>Estratégica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Programação</w:t>
      </w:r>
      <w:r>
        <w:rPr>
          <w:spacing w:val="40"/>
        </w:rPr>
        <w:t> </w:t>
      </w:r>
      <w:r>
        <w:rPr/>
        <w:t>Operacional, Fundo de Apoio, Contribuição CSC e Reserva de Contingência.</w:t>
      </w:r>
    </w:p>
    <w:p>
      <w:pPr>
        <w:pStyle w:val="BodyText"/>
        <w:tabs>
          <w:tab w:pos="2103" w:val="left" w:leader="none"/>
        </w:tabs>
        <w:spacing w:line="360" w:lineRule="auto" w:before="160"/>
        <w:ind w:left="2103" w:right="114" w:hanging="1985"/>
      </w:pPr>
      <w:r>
        <w:rPr/>
        <w:t>Anexo 4</w:t>
        <w:tab/>
        <w:t>Demonstrativo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Aplicações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Elementos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Despesas</w:t>
      </w:r>
      <w:r>
        <w:rPr>
          <w:spacing w:val="40"/>
        </w:rPr>
        <w:t> </w:t>
      </w:r>
      <w:r>
        <w:rPr/>
        <w:t>dos</w:t>
      </w:r>
      <w:r>
        <w:rPr>
          <w:spacing w:val="40"/>
        </w:rPr>
        <w:t> </w:t>
      </w:r>
      <w:r>
        <w:rPr/>
        <w:t>CAU/UF</w:t>
      </w:r>
      <w:r>
        <w:rPr>
          <w:spacing w:val="40"/>
        </w:rPr>
        <w:t> </w:t>
      </w:r>
      <w:r>
        <w:rPr/>
        <w:t>e </w:t>
      </w:r>
      <w:r>
        <w:rPr>
          <w:spacing w:val="-2"/>
        </w:rPr>
        <w:t>CAU/BR.</w:t>
      </w:r>
    </w:p>
    <w:p>
      <w:pPr>
        <w:pStyle w:val="BodyText"/>
        <w:tabs>
          <w:tab w:pos="2103" w:val="left" w:leader="none"/>
        </w:tabs>
        <w:spacing w:line="360" w:lineRule="auto" w:before="160"/>
        <w:ind w:left="2103" w:right="108" w:hanging="1985"/>
      </w:pPr>
      <w:r>
        <w:rPr/>
        <w:t>Anexo 5</w:t>
        <w:tab/>
        <w:t>Demonstrativo</w:t>
      </w:r>
      <w:r>
        <w:rPr>
          <w:spacing w:val="-11"/>
        </w:rPr>
        <w:t> </w:t>
      </w:r>
      <w:r>
        <w:rPr/>
        <w:t>Comparativo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Limites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Destinação</w:t>
      </w:r>
      <w:r>
        <w:rPr>
          <w:spacing w:val="-11"/>
        </w:rPr>
        <w:t> </w:t>
      </w:r>
      <w:r>
        <w:rPr/>
        <w:t>Estratégica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Recursos dos CAU/UF e CAU/BR (Receitas Correntes X Despesas com Pessoal).</w:t>
      </w:r>
    </w:p>
    <w:p>
      <w:pPr>
        <w:pStyle w:val="BodyText"/>
        <w:tabs>
          <w:tab w:pos="2103" w:val="left" w:leader="none"/>
        </w:tabs>
        <w:spacing w:line="362" w:lineRule="auto" w:before="158"/>
        <w:ind w:left="2103" w:right="108" w:hanging="1985"/>
      </w:pPr>
      <w:r>
        <w:rPr/>
        <w:t>Anexo 6</w:t>
        <w:tab/>
        <w:t>Demonstrativo</w:t>
      </w:r>
      <w:r>
        <w:rPr>
          <w:spacing w:val="-3"/>
        </w:rPr>
        <w:t> </w:t>
      </w:r>
      <w:r>
        <w:rPr/>
        <w:t>dos</w:t>
      </w:r>
      <w:r>
        <w:rPr>
          <w:spacing w:val="-1"/>
        </w:rPr>
        <w:t> </w:t>
      </w:r>
      <w:r>
        <w:rPr/>
        <w:t>Limites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Destinação</w:t>
      </w:r>
      <w:r>
        <w:rPr>
          <w:spacing w:val="-3"/>
        </w:rPr>
        <w:t> </w:t>
      </w:r>
      <w:r>
        <w:rPr/>
        <w:t>Estratégica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 dos CAU/UF e CAU/BR (demais destinações).</w:t>
      </w:r>
    </w:p>
    <w:p>
      <w:pPr>
        <w:pStyle w:val="BodyText"/>
        <w:tabs>
          <w:tab w:pos="2103" w:val="left" w:leader="none"/>
        </w:tabs>
        <w:spacing w:line="360" w:lineRule="auto" w:before="155"/>
        <w:ind w:left="2103" w:right="114" w:hanging="1985"/>
      </w:pPr>
      <w:r>
        <w:rPr/>
        <w:t>Anexo 7</w:t>
        <w:tab/>
        <w:t>Reprogramações do Plano de Ação e Orçamento do CAU 2022 dos CAU/UF e CAU/BR (Links para acesso no Portal Transparência).</w:t>
      </w:r>
    </w:p>
    <w:p>
      <w:pPr>
        <w:spacing w:after="0" w:line="360" w:lineRule="auto"/>
        <w:sectPr>
          <w:headerReference w:type="default" r:id="rId17"/>
          <w:footerReference w:type="default" r:id="rId18"/>
          <w:pgSz w:w="11910" w:h="16840"/>
          <w:pgMar w:header="688" w:footer="261" w:top="1560" w:bottom="460" w:left="1300" w:right="740"/>
          <w:pgNumType w:start="1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ind w:left="4032" w:right="4025"/>
      </w:pPr>
      <w:r>
        <w:rPr>
          <w:color w:val="602041"/>
        </w:rPr>
        <w:t>ANEXO </w:t>
      </w:r>
      <w:r>
        <w:rPr>
          <w:color w:val="602041"/>
          <w:spacing w:val="-10"/>
        </w:rPr>
        <w:t>1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424" w:lineRule="auto"/>
        <w:ind w:left="553" w:right="543" w:hanging="2"/>
      </w:pPr>
      <w:r>
        <w:rPr>
          <w:color w:val="602041"/>
        </w:rPr>
        <w:t>Demonstrativo Comparativo da Reprogramação</w:t>
      </w:r>
      <w:r>
        <w:rPr>
          <w:color w:val="602041"/>
          <w:spacing w:val="-5"/>
        </w:rPr>
        <w:t> </w:t>
      </w:r>
      <w:r>
        <w:rPr>
          <w:color w:val="602041"/>
        </w:rPr>
        <w:t>do</w:t>
      </w:r>
      <w:r>
        <w:rPr>
          <w:color w:val="602041"/>
          <w:spacing w:val="-6"/>
        </w:rPr>
        <w:t> </w:t>
      </w:r>
      <w:r>
        <w:rPr>
          <w:color w:val="602041"/>
        </w:rPr>
        <w:t>Plano</w:t>
      </w:r>
      <w:r>
        <w:rPr>
          <w:color w:val="602041"/>
          <w:spacing w:val="-6"/>
        </w:rPr>
        <w:t> </w:t>
      </w:r>
      <w:r>
        <w:rPr>
          <w:color w:val="602041"/>
        </w:rPr>
        <w:t>de</w:t>
      </w:r>
      <w:r>
        <w:rPr>
          <w:color w:val="602041"/>
          <w:spacing w:val="-7"/>
        </w:rPr>
        <w:t> </w:t>
      </w:r>
      <w:r>
        <w:rPr>
          <w:color w:val="602041"/>
        </w:rPr>
        <w:t>Ação</w:t>
      </w:r>
      <w:r>
        <w:rPr>
          <w:color w:val="602041"/>
          <w:spacing w:val="-6"/>
        </w:rPr>
        <w:t> </w:t>
      </w:r>
      <w:r>
        <w:rPr>
          <w:color w:val="602041"/>
        </w:rPr>
        <w:t>CAU</w:t>
      </w:r>
      <w:r>
        <w:rPr>
          <w:color w:val="602041"/>
          <w:spacing w:val="-6"/>
        </w:rPr>
        <w:t> </w:t>
      </w:r>
      <w:r>
        <w:rPr>
          <w:color w:val="602041"/>
        </w:rPr>
        <w:t>2022 (Programação</w:t>
      </w:r>
      <w:r>
        <w:rPr>
          <w:color w:val="602041"/>
          <w:spacing w:val="-6"/>
        </w:rPr>
        <w:t> </w:t>
      </w:r>
      <w:r>
        <w:rPr>
          <w:color w:val="602041"/>
        </w:rPr>
        <w:t>2022</w:t>
      </w:r>
      <w:r>
        <w:rPr>
          <w:color w:val="602041"/>
          <w:spacing w:val="-5"/>
        </w:rPr>
        <w:t> </w:t>
      </w:r>
      <w:r>
        <w:rPr>
          <w:color w:val="602041"/>
        </w:rPr>
        <w:t>X</w:t>
      </w:r>
      <w:r>
        <w:rPr>
          <w:color w:val="602041"/>
          <w:spacing w:val="-2"/>
        </w:rPr>
        <w:t> </w:t>
      </w:r>
      <w:r>
        <w:rPr>
          <w:color w:val="602041"/>
        </w:rPr>
        <w:t>Reprogramação</w:t>
      </w:r>
      <w:r>
        <w:rPr>
          <w:color w:val="602041"/>
          <w:spacing w:val="-2"/>
        </w:rPr>
        <w:t> 2022)</w:t>
      </w:r>
    </w:p>
    <w:p>
      <w:pPr>
        <w:spacing w:after="0" w:line="424" w:lineRule="auto"/>
        <w:sectPr>
          <w:pgSz w:w="11910" w:h="16840"/>
          <w:pgMar w:header="688" w:footer="261" w:top="1560" w:bottom="460" w:left="1300" w:right="740"/>
        </w:sectPr>
      </w:pPr>
    </w:p>
    <w:p>
      <w:pPr>
        <w:pStyle w:val="Heading4"/>
        <w:spacing w:before="17"/>
        <w:ind w:right="108"/>
        <w:jc w:val="right"/>
      </w:pPr>
      <w:bookmarkStart w:name="_bookmark18" w:id="19"/>
      <w:bookmarkEnd w:id="19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1.</w:t>
      </w:r>
      <w:r>
        <w:rPr>
          <w:spacing w:val="-2"/>
        </w:rPr>
        <w:t> </w:t>
      </w:r>
      <w:r>
        <w:rPr/>
        <w:t>Demonstrativo</w:t>
      </w:r>
      <w:r>
        <w:rPr>
          <w:spacing w:val="-3"/>
        </w:rPr>
        <w:t> </w:t>
      </w:r>
      <w:r>
        <w:rPr/>
        <w:t>Comparativo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Reprogramação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Plano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Ação</w:t>
      </w:r>
      <w:r>
        <w:rPr>
          <w:spacing w:val="-3"/>
        </w:rPr>
        <w:t> </w:t>
      </w:r>
      <w:r>
        <w:rPr/>
        <w:t>CAU</w:t>
      </w:r>
      <w:r>
        <w:rPr>
          <w:spacing w:val="-2"/>
        </w:rPr>
        <w:t> </w:t>
      </w:r>
      <w:r>
        <w:rPr>
          <w:spacing w:val="-4"/>
        </w:rPr>
        <w:t>2022</w:t>
      </w:r>
    </w:p>
    <w:p>
      <w:pPr>
        <w:spacing w:before="0"/>
        <w:ind w:left="0" w:right="107" w:firstLine="0"/>
        <w:jc w:val="right"/>
        <w:rPr>
          <w:b/>
          <w:sz w:val="24"/>
        </w:rPr>
      </w:pPr>
      <w:r>
        <w:rPr>
          <w:b/>
          <w:sz w:val="24"/>
        </w:rPr>
        <w:t>Programação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2022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Reprogramação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2022)</w:t>
      </w:r>
    </w:p>
    <w:p>
      <w:pPr>
        <w:pStyle w:val="BodyText"/>
        <w:ind w:left="118" w:right="-29"/>
        <w:rPr>
          <w:sz w:val="20"/>
        </w:rPr>
      </w:pPr>
      <w:r>
        <w:rPr>
          <w:sz w:val="20"/>
        </w:rPr>
        <w:drawing>
          <wp:inline distT="0" distB="0" distL="0" distR="0">
            <wp:extent cx="6181441" cy="7168896"/>
            <wp:effectExtent l="0" t="0" r="0" b="0"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441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2" w:lineRule="auto" w:before="194"/>
        <w:ind w:left="118" w:right="114" w:firstLine="0"/>
        <w:jc w:val="left"/>
        <w:rPr>
          <w:sz w:val="18"/>
        </w:rPr>
      </w:pPr>
      <w:r>
        <w:rPr>
          <w:sz w:val="18"/>
        </w:rPr>
        <w:t>Os</w:t>
      </w:r>
      <w:r>
        <w:rPr>
          <w:spacing w:val="-3"/>
          <w:sz w:val="18"/>
        </w:rPr>
        <w:t> </w:t>
      </w:r>
      <w:r>
        <w:rPr>
          <w:sz w:val="18"/>
        </w:rPr>
        <w:t>dados</w:t>
      </w:r>
      <w:r>
        <w:rPr>
          <w:spacing w:val="-3"/>
          <w:sz w:val="18"/>
        </w:rPr>
        <w:t> </w:t>
      </w:r>
      <w:r>
        <w:rPr>
          <w:sz w:val="18"/>
        </w:rPr>
        <w:t>dos</w:t>
      </w:r>
      <w:r>
        <w:rPr>
          <w:spacing w:val="-3"/>
          <w:sz w:val="18"/>
        </w:rPr>
        <w:t> </w:t>
      </w:r>
      <w:r>
        <w:rPr>
          <w:sz w:val="18"/>
        </w:rPr>
        <w:t>CAU/AM</w:t>
      </w:r>
      <w:r>
        <w:rPr>
          <w:spacing w:val="-3"/>
          <w:sz w:val="18"/>
        </w:rPr>
        <w:t> </w:t>
      </w:r>
      <w:r>
        <w:rPr>
          <w:sz w:val="18"/>
        </w:rPr>
        <w:t>e</w:t>
      </w:r>
      <w:r>
        <w:rPr>
          <w:spacing w:val="-3"/>
          <w:sz w:val="18"/>
        </w:rPr>
        <w:t> </w:t>
      </w:r>
      <w:r>
        <w:rPr>
          <w:sz w:val="18"/>
        </w:rPr>
        <w:t>CAU/SP,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tocante</w:t>
      </w:r>
      <w:r>
        <w:rPr>
          <w:spacing w:val="-4"/>
          <w:sz w:val="18"/>
        </w:rPr>
        <w:t> </w:t>
      </w:r>
      <w:r>
        <w:rPr>
          <w:sz w:val="18"/>
        </w:rPr>
        <w:t>à</w:t>
      </w:r>
      <w:r>
        <w:rPr>
          <w:spacing w:val="-3"/>
          <w:sz w:val="18"/>
        </w:rPr>
        <w:t> </w:t>
      </w:r>
      <w:r>
        <w:rPr>
          <w:sz w:val="18"/>
        </w:rPr>
        <w:t>Programação</w:t>
      </w:r>
      <w:r>
        <w:rPr>
          <w:spacing w:val="-1"/>
          <w:sz w:val="18"/>
        </w:rPr>
        <w:t> </w:t>
      </w:r>
      <w:r>
        <w:rPr>
          <w:sz w:val="18"/>
        </w:rPr>
        <w:t>2022,</w:t>
      </w:r>
      <w:r>
        <w:rPr>
          <w:spacing w:val="-4"/>
          <w:sz w:val="18"/>
        </w:rPr>
        <w:t> </w:t>
      </w:r>
      <w:r>
        <w:rPr>
          <w:sz w:val="18"/>
        </w:rPr>
        <w:t>estão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2"/>
          <w:sz w:val="18"/>
        </w:rPr>
        <w:t> </w:t>
      </w:r>
      <w:r>
        <w:rPr>
          <w:sz w:val="18"/>
        </w:rPr>
        <w:t>conformidade</w:t>
      </w:r>
      <w:r>
        <w:rPr>
          <w:spacing w:val="-3"/>
          <w:sz w:val="18"/>
        </w:rPr>
        <w:t> </w:t>
      </w:r>
      <w:r>
        <w:rPr>
          <w:sz w:val="18"/>
        </w:rPr>
        <w:t>com</w:t>
      </w:r>
      <w:r>
        <w:rPr>
          <w:spacing w:val="-2"/>
          <w:sz w:val="18"/>
        </w:rPr>
        <w:t> </w:t>
      </w:r>
      <w:r>
        <w:rPr>
          <w:sz w:val="18"/>
        </w:rPr>
        <w:t>as</w:t>
      </w:r>
      <w:r>
        <w:rPr>
          <w:spacing w:val="-3"/>
          <w:sz w:val="18"/>
        </w:rPr>
        <w:t> </w:t>
      </w:r>
      <w:r>
        <w:rPr>
          <w:sz w:val="18"/>
        </w:rPr>
        <w:t>propostas</w:t>
      </w:r>
      <w:r>
        <w:rPr>
          <w:spacing w:val="-3"/>
          <w:sz w:val="18"/>
        </w:rPr>
        <w:t> </w:t>
      </w:r>
      <w:r>
        <w:rPr>
          <w:sz w:val="18"/>
        </w:rPr>
        <w:t>das</w:t>
      </w:r>
      <w:r>
        <w:rPr>
          <w:spacing w:val="-3"/>
          <w:sz w:val="18"/>
        </w:rPr>
        <w:t> </w:t>
      </w:r>
      <w:r>
        <w:rPr>
          <w:sz w:val="18"/>
        </w:rPr>
        <w:t>Reprogramações Extraordinárias aprovadas para esses CAU/UF, uma vez que ocorreram em data anterior à Reprogramação Ordinária.</w:t>
      </w:r>
    </w:p>
    <w:p>
      <w:pPr>
        <w:spacing w:after="0" w:line="362" w:lineRule="auto"/>
        <w:jc w:val="left"/>
        <w:rPr>
          <w:sz w:val="18"/>
        </w:rPr>
        <w:sectPr>
          <w:pgSz w:w="11910" w:h="16840"/>
          <w:pgMar w:header="688" w:footer="261" w:top="1560" w:bottom="460" w:left="13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ind w:left="4032" w:right="4025"/>
      </w:pPr>
      <w:r>
        <w:rPr>
          <w:color w:val="602041"/>
        </w:rPr>
        <w:t>ANEXO </w:t>
      </w:r>
      <w:r>
        <w:rPr>
          <w:color w:val="602041"/>
          <w:spacing w:val="-10"/>
        </w:rPr>
        <w:t>2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/>
        <w:ind w:left="678" w:right="669"/>
      </w:pPr>
      <w:r>
        <w:rPr>
          <w:color w:val="602041"/>
        </w:rPr>
        <w:t>Demonstrativo</w:t>
      </w:r>
      <w:r>
        <w:rPr>
          <w:color w:val="602041"/>
          <w:spacing w:val="-8"/>
        </w:rPr>
        <w:t> </w:t>
      </w:r>
      <w:r>
        <w:rPr>
          <w:color w:val="602041"/>
        </w:rPr>
        <w:t>Comparativo</w:t>
      </w:r>
      <w:r>
        <w:rPr>
          <w:color w:val="602041"/>
          <w:spacing w:val="-8"/>
        </w:rPr>
        <w:t> </w:t>
      </w:r>
      <w:r>
        <w:rPr>
          <w:color w:val="602041"/>
        </w:rPr>
        <w:t>das</w:t>
      </w:r>
      <w:r>
        <w:rPr>
          <w:color w:val="602041"/>
          <w:spacing w:val="-8"/>
        </w:rPr>
        <w:t> </w:t>
      </w:r>
      <w:r>
        <w:rPr>
          <w:color w:val="602041"/>
        </w:rPr>
        <w:t>Fontes</w:t>
      </w:r>
      <w:r>
        <w:rPr>
          <w:color w:val="602041"/>
          <w:spacing w:val="-8"/>
        </w:rPr>
        <w:t> </w:t>
      </w:r>
      <w:r>
        <w:rPr>
          <w:color w:val="602041"/>
        </w:rPr>
        <w:t>de Receitas dos CAU/UF e CAU/BR.</w:t>
      </w:r>
    </w:p>
    <w:p>
      <w:pPr>
        <w:spacing w:after="0" w:line="360" w:lineRule="auto"/>
        <w:sectPr>
          <w:pgSz w:w="11910" w:h="16840"/>
          <w:pgMar w:header="688" w:footer="261" w:top="1560" w:bottom="460" w:left="130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77"/>
        <w:ind w:left="7765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ragraph">
              <wp:posOffset>-464050</wp:posOffset>
            </wp:positionV>
            <wp:extent cx="10692383" cy="565724"/>
            <wp:effectExtent l="0" t="0" r="0" b="0"/>
            <wp:wrapNone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9" w:id="20"/>
      <w:bookmarkEnd w:id="20"/>
      <w:r>
        <w:rPr>
          <w:b w:val="0"/>
        </w:rPr>
      </w:r>
      <w:r>
        <w:rPr/>
        <w:t>Anexo</w:t>
      </w:r>
      <w:r>
        <w:rPr>
          <w:spacing w:val="-4"/>
        </w:rPr>
        <w:t> </w:t>
      </w:r>
      <w:r>
        <w:rPr/>
        <w:t>2.</w:t>
      </w:r>
      <w:r>
        <w:rPr>
          <w:spacing w:val="-2"/>
        </w:rPr>
        <w:t> </w:t>
      </w:r>
      <w:r>
        <w:rPr/>
        <w:t>Demonstrativo</w:t>
      </w:r>
      <w:r>
        <w:rPr>
          <w:spacing w:val="-5"/>
        </w:rPr>
        <w:t> </w:t>
      </w:r>
      <w:r>
        <w:rPr/>
        <w:t>Comparativo</w:t>
      </w:r>
      <w:r>
        <w:rPr>
          <w:spacing w:val="-5"/>
        </w:rPr>
        <w:t> </w:t>
      </w:r>
      <w:r>
        <w:rPr/>
        <w:t>das</w:t>
      </w:r>
      <w:r>
        <w:rPr>
          <w:spacing w:val="-2"/>
        </w:rPr>
        <w:t> </w:t>
      </w:r>
      <w:r>
        <w:rPr/>
        <w:t>Fontes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Receitas</w:t>
      </w:r>
      <w:r>
        <w:rPr>
          <w:spacing w:val="5"/>
        </w:rPr>
        <w:t> </w:t>
      </w:r>
      <w:r>
        <w:rPr/>
        <w:t>dos</w:t>
      </w:r>
      <w:r>
        <w:rPr>
          <w:spacing w:val="-2"/>
        </w:rPr>
        <w:t> </w:t>
      </w:r>
      <w:r>
        <w:rPr/>
        <w:t>CAU/UF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2"/>
        </w:rPr>
        <w:t>CAU/BR</w:t>
      </w:r>
    </w:p>
    <w:p>
      <w:pPr>
        <w:pStyle w:val="BodyText"/>
        <w:ind w:left="709"/>
        <w:rPr>
          <w:sz w:val="20"/>
        </w:rPr>
      </w:pPr>
      <w:r>
        <w:rPr>
          <w:sz w:val="20"/>
        </w:rPr>
        <w:drawing>
          <wp:inline distT="0" distB="0" distL="0" distR="0">
            <wp:extent cx="9707842" cy="4396739"/>
            <wp:effectExtent l="0" t="0" r="0" b="0"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42" cy="439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7"/>
        <w:ind w:left="710" w:right="191" w:firstLine="0"/>
        <w:jc w:val="left"/>
        <w:rPr>
          <w:sz w:val="18"/>
        </w:rPr>
      </w:pPr>
      <w:r>
        <w:rPr>
          <w:sz w:val="18"/>
        </w:rPr>
        <w:t>Os dados dos CAU/AM e CAU/SP, no tocante à</w:t>
      </w:r>
      <w:r>
        <w:rPr>
          <w:spacing w:val="-2"/>
          <w:sz w:val="18"/>
        </w:rPr>
        <w:t> </w:t>
      </w:r>
      <w:r>
        <w:rPr>
          <w:sz w:val="18"/>
        </w:rPr>
        <w:t>Programação 2022,</w:t>
      </w:r>
      <w:r>
        <w:rPr>
          <w:spacing w:val="-1"/>
          <w:sz w:val="18"/>
        </w:rPr>
        <w:t> </w:t>
      </w:r>
      <w:r>
        <w:rPr>
          <w:sz w:val="18"/>
        </w:rPr>
        <w:t>estão em conformidade com</w:t>
      </w:r>
      <w:r>
        <w:rPr>
          <w:spacing w:val="-1"/>
          <w:sz w:val="18"/>
        </w:rPr>
        <w:t> </w:t>
      </w:r>
      <w:r>
        <w:rPr>
          <w:sz w:val="18"/>
        </w:rPr>
        <w:t>as</w:t>
      </w:r>
      <w:r>
        <w:rPr>
          <w:spacing w:val="-2"/>
          <w:sz w:val="18"/>
        </w:rPr>
        <w:t> </w:t>
      </w:r>
      <w:r>
        <w:rPr>
          <w:sz w:val="18"/>
        </w:rPr>
        <w:t>propostas das Reprogramações Extraordinárias aprovadas para esses CAU/UF, uma vez que ocorreram em data anterior à Reprogramação Ordinária.</w:t>
      </w:r>
    </w:p>
    <w:p>
      <w:pPr>
        <w:spacing w:after="0"/>
        <w:jc w:val="left"/>
        <w:rPr>
          <w:sz w:val="18"/>
        </w:rPr>
        <w:sectPr>
          <w:headerReference w:type="default" r:id="rId20"/>
          <w:footerReference w:type="default" r:id="rId21"/>
          <w:pgSz w:w="16840" w:h="11910" w:orient="landscape"/>
          <w:pgMar w:header="0" w:footer="261" w:top="680" w:bottom="4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ind w:left="1275" w:right="1285"/>
      </w:pPr>
      <w:r>
        <w:rPr>
          <w:color w:val="602041"/>
        </w:rPr>
        <w:t>ANEXO </w:t>
      </w:r>
      <w:r>
        <w:rPr>
          <w:color w:val="602041"/>
          <w:spacing w:val="-10"/>
        </w:rPr>
        <w:t>3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424" w:lineRule="auto"/>
        <w:ind w:left="1275" w:right="1288"/>
      </w:pPr>
      <w:r>
        <w:rPr>
          <w:color w:val="602041"/>
        </w:rPr>
        <w:t>Demonstrativo</w:t>
      </w:r>
      <w:r>
        <w:rPr>
          <w:color w:val="602041"/>
          <w:spacing w:val="-11"/>
        </w:rPr>
        <w:t> </w:t>
      </w:r>
      <w:r>
        <w:rPr>
          <w:color w:val="602041"/>
        </w:rPr>
        <w:t>das</w:t>
      </w:r>
      <w:r>
        <w:rPr>
          <w:color w:val="602041"/>
          <w:spacing w:val="-11"/>
        </w:rPr>
        <w:t> </w:t>
      </w:r>
      <w:r>
        <w:rPr>
          <w:color w:val="602041"/>
        </w:rPr>
        <w:t>Aplicações</w:t>
      </w:r>
      <w:r>
        <w:rPr>
          <w:color w:val="602041"/>
          <w:spacing w:val="-11"/>
        </w:rPr>
        <w:t> </w:t>
      </w:r>
      <w:r>
        <w:rPr>
          <w:color w:val="602041"/>
        </w:rPr>
        <w:t>Totais Por Iniciativa Estratégica.</w:t>
      </w:r>
    </w:p>
    <w:p>
      <w:pPr>
        <w:spacing w:after="0" w:line="424" w:lineRule="auto"/>
        <w:sectPr>
          <w:headerReference w:type="default" r:id="rId24"/>
          <w:footerReference w:type="default" r:id="rId25"/>
          <w:pgSz w:w="11910" w:h="16840"/>
          <w:pgMar w:header="686" w:footer="261" w:top="1560" w:bottom="460" w:left="1300" w:right="720"/>
          <w:pgNumType w:start="24"/>
        </w:sectPr>
      </w:pPr>
    </w:p>
    <w:p>
      <w:pPr>
        <w:pStyle w:val="Heading4"/>
        <w:spacing w:before="21"/>
        <w:ind w:left="2661"/>
      </w:pPr>
      <w:bookmarkStart w:name="_bookmark20" w:id="21"/>
      <w:bookmarkEnd w:id="21"/>
      <w:r>
        <w:rPr>
          <w:b w:val="0"/>
        </w:rPr>
      </w:r>
      <w:r>
        <w:rPr/>
        <w:t>Anexo</w:t>
      </w:r>
      <w:r>
        <w:rPr>
          <w:spacing w:val="-5"/>
        </w:rPr>
        <w:t> </w:t>
      </w:r>
      <w:r>
        <w:rPr/>
        <w:t>3.</w:t>
      </w:r>
      <w:r>
        <w:rPr>
          <w:spacing w:val="-3"/>
        </w:rPr>
        <w:t> </w:t>
      </w:r>
      <w:r>
        <w:rPr/>
        <w:t>Demonstrativo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/>
        <w:t>Aplicações</w:t>
      </w:r>
      <w:r>
        <w:rPr>
          <w:spacing w:val="-4"/>
        </w:rPr>
        <w:t> </w:t>
      </w:r>
      <w:r>
        <w:rPr/>
        <w:t>Totais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Iniciativa</w:t>
      </w:r>
      <w:r>
        <w:rPr>
          <w:spacing w:val="-5"/>
        </w:rPr>
        <w:t> </w:t>
      </w:r>
      <w:r>
        <w:rPr>
          <w:spacing w:val="-2"/>
        </w:rPr>
        <w:t>Estratégica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021089" cy="6250781"/>
            <wp:effectExtent l="0" t="0" r="0" b="0"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089" cy="625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86" w:footer="261" w:top="1560" w:bottom="460" w:left="1300" w:right="720"/>
        </w:sectPr>
      </w:pPr>
    </w:p>
    <w:p>
      <w:pPr>
        <w:spacing w:before="21"/>
        <w:ind w:left="0" w:right="138" w:firstLine="0"/>
        <w:jc w:val="right"/>
        <w:rPr>
          <w:b/>
          <w:sz w:val="24"/>
        </w:rPr>
      </w:pPr>
      <w:bookmarkStart w:name="_bookmark21" w:id="22"/>
      <w:bookmarkEnd w:id="22"/>
      <w:r>
        <w:rPr/>
      </w:r>
      <w:r>
        <w:rPr>
          <w:b/>
          <w:sz w:val="24"/>
        </w:rPr>
        <w:t>Anexo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3.1.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Demonstrativo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Aplicações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Iniciativa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Estratégica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Programação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Operacional,</w:t>
      </w:r>
    </w:p>
    <w:p>
      <w:pPr>
        <w:spacing w:before="0"/>
        <w:ind w:left="0" w:right="126" w:firstLine="0"/>
        <w:jc w:val="right"/>
        <w:rPr>
          <w:b/>
          <w:sz w:val="24"/>
        </w:rPr>
      </w:pPr>
      <w:r>
        <w:rPr>
          <w:b/>
          <w:sz w:val="24"/>
        </w:rPr>
        <w:t>Fundo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Apoio,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Contribuição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CSC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Reserva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Contingência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008990" cy="6406229"/>
            <wp:effectExtent l="0" t="0" r="0" b="0"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990" cy="640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86" w:footer="261" w:top="1560" w:bottom="460" w:left="130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1"/>
        <w:ind w:left="1275" w:right="1285"/>
      </w:pPr>
      <w:r>
        <w:rPr>
          <w:color w:val="602041"/>
        </w:rPr>
        <w:t>ANEXO </w:t>
      </w:r>
      <w:r>
        <w:rPr>
          <w:color w:val="602041"/>
          <w:spacing w:val="-10"/>
        </w:rPr>
        <w:t>4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/>
        <w:ind w:left="128" w:right="141"/>
      </w:pPr>
      <w:r>
        <w:rPr>
          <w:color w:val="602041"/>
        </w:rPr>
        <w:t>Demonstrativo</w:t>
      </w:r>
      <w:r>
        <w:rPr>
          <w:color w:val="602041"/>
          <w:spacing w:val="-6"/>
        </w:rPr>
        <w:t> </w:t>
      </w:r>
      <w:r>
        <w:rPr>
          <w:color w:val="602041"/>
        </w:rPr>
        <w:t>das</w:t>
      </w:r>
      <w:r>
        <w:rPr>
          <w:color w:val="602041"/>
          <w:spacing w:val="-6"/>
        </w:rPr>
        <w:t> </w:t>
      </w:r>
      <w:r>
        <w:rPr>
          <w:color w:val="602041"/>
        </w:rPr>
        <w:t>Aplicações</w:t>
      </w:r>
      <w:r>
        <w:rPr>
          <w:color w:val="602041"/>
          <w:spacing w:val="-6"/>
        </w:rPr>
        <w:t> </w:t>
      </w:r>
      <w:r>
        <w:rPr>
          <w:color w:val="602041"/>
        </w:rPr>
        <w:t>por</w:t>
      </w:r>
      <w:r>
        <w:rPr>
          <w:color w:val="602041"/>
          <w:spacing w:val="-7"/>
        </w:rPr>
        <w:t> </w:t>
      </w:r>
      <w:r>
        <w:rPr>
          <w:color w:val="602041"/>
        </w:rPr>
        <w:t>Elementos</w:t>
      </w:r>
      <w:r>
        <w:rPr>
          <w:color w:val="602041"/>
          <w:spacing w:val="-8"/>
        </w:rPr>
        <w:t> </w:t>
      </w:r>
      <w:r>
        <w:rPr>
          <w:color w:val="602041"/>
        </w:rPr>
        <w:t>de Despesas dos CAU/UF e CAU/BR.</w:t>
      </w:r>
    </w:p>
    <w:p>
      <w:pPr>
        <w:spacing w:after="0" w:line="360" w:lineRule="auto"/>
        <w:sectPr>
          <w:pgSz w:w="11910" w:h="16840"/>
          <w:pgMar w:header="686" w:footer="261" w:top="1560" w:bottom="460" w:left="130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77"/>
        <w:ind w:left="7121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ragraph">
              <wp:posOffset>-465345</wp:posOffset>
            </wp:positionV>
            <wp:extent cx="10692383" cy="563843"/>
            <wp:effectExtent l="0" t="0" r="0" b="0"/>
            <wp:wrapNone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2" w:id="23"/>
      <w:bookmarkEnd w:id="23"/>
      <w:r>
        <w:rPr>
          <w:b w:val="0"/>
        </w:rPr>
      </w:r>
      <w:r>
        <w:rPr/>
        <w:t>Anexo</w:t>
      </w:r>
      <w:r>
        <w:rPr>
          <w:spacing w:val="-3"/>
        </w:rPr>
        <w:t> </w:t>
      </w:r>
      <w:r>
        <w:rPr/>
        <w:t>4.</w:t>
      </w:r>
      <w:r>
        <w:rPr>
          <w:spacing w:val="-3"/>
        </w:rPr>
        <w:t> </w:t>
      </w:r>
      <w:r>
        <w:rPr/>
        <w:t>Demonstrativo</w:t>
      </w:r>
      <w:r>
        <w:rPr>
          <w:spacing w:val="-4"/>
        </w:rPr>
        <w:t> </w:t>
      </w:r>
      <w:r>
        <w:rPr/>
        <w:t>das</w:t>
      </w:r>
      <w:r>
        <w:rPr>
          <w:spacing w:val="-2"/>
        </w:rPr>
        <w:t> </w:t>
      </w:r>
      <w:r>
        <w:rPr/>
        <w:t>Aplicações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Despesas</w:t>
      </w:r>
      <w:r>
        <w:rPr>
          <w:spacing w:val="-4"/>
        </w:rPr>
        <w:t> </w:t>
      </w:r>
      <w:r>
        <w:rPr/>
        <w:t>dos</w:t>
      </w:r>
      <w:r>
        <w:rPr>
          <w:spacing w:val="-1"/>
        </w:rPr>
        <w:t> </w:t>
      </w:r>
      <w:r>
        <w:rPr/>
        <w:t>CAU/UF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CAU/BR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900430</wp:posOffset>
            </wp:positionH>
            <wp:positionV relativeFrom="paragraph">
              <wp:posOffset>170269</wp:posOffset>
            </wp:positionV>
            <wp:extent cx="9332422" cy="4315967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2422" cy="431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28"/>
          <w:footerReference w:type="default" r:id="rId29"/>
          <w:pgSz w:w="16840" w:h="11910" w:orient="landscape"/>
          <w:pgMar w:header="0" w:footer="261" w:top="680" w:bottom="4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Heading1"/>
      </w:pPr>
      <w:r>
        <w:rPr>
          <w:color w:val="602041"/>
        </w:rPr>
        <w:t>ANEXO </w:t>
      </w:r>
      <w:r>
        <w:rPr>
          <w:color w:val="602041"/>
          <w:spacing w:val="-10"/>
        </w:rPr>
        <w:t>5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 w:before="320"/>
        <w:ind w:left="731" w:right="162" w:hanging="2"/>
      </w:pPr>
      <w:r>
        <w:rPr>
          <w:color w:val="602041"/>
        </w:rPr>
        <w:t>Demonstrativo Comparativo dos Limites de Destinação</w:t>
      </w:r>
      <w:r>
        <w:rPr>
          <w:color w:val="602041"/>
          <w:spacing w:val="-9"/>
        </w:rPr>
        <w:t> </w:t>
      </w:r>
      <w:r>
        <w:rPr>
          <w:color w:val="602041"/>
        </w:rPr>
        <w:t>Estratégica</w:t>
      </w:r>
      <w:r>
        <w:rPr>
          <w:color w:val="602041"/>
          <w:spacing w:val="-9"/>
        </w:rPr>
        <w:t> </w:t>
      </w:r>
      <w:r>
        <w:rPr>
          <w:color w:val="602041"/>
        </w:rPr>
        <w:t>de</w:t>
      </w:r>
      <w:r>
        <w:rPr>
          <w:color w:val="602041"/>
          <w:spacing w:val="-8"/>
        </w:rPr>
        <w:t> </w:t>
      </w:r>
      <w:r>
        <w:rPr>
          <w:color w:val="602041"/>
        </w:rPr>
        <w:t>Recursos</w:t>
      </w:r>
      <w:r>
        <w:rPr>
          <w:color w:val="602041"/>
          <w:spacing w:val="-4"/>
        </w:rPr>
        <w:t> </w:t>
      </w:r>
      <w:r>
        <w:rPr>
          <w:color w:val="602041"/>
        </w:rPr>
        <w:t>dos</w:t>
      </w:r>
      <w:r>
        <w:rPr>
          <w:color w:val="602041"/>
          <w:spacing w:val="-7"/>
        </w:rPr>
        <w:t> </w:t>
      </w:r>
      <w:r>
        <w:rPr>
          <w:color w:val="602041"/>
        </w:rPr>
        <w:t>CAU/UF e CAU/BR.</w:t>
      </w:r>
    </w:p>
    <w:p>
      <w:pPr>
        <w:spacing w:before="160"/>
        <w:ind w:left="856" w:right="292" w:firstLine="0"/>
        <w:jc w:val="center"/>
        <w:rPr>
          <w:b/>
          <w:sz w:val="48"/>
        </w:rPr>
      </w:pPr>
      <w:r>
        <w:rPr>
          <w:b/>
          <w:color w:val="602041"/>
          <w:sz w:val="48"/>
        </w:rPr>
        <w:t>(Receitas</w:t>
      </w:r>
      <w:r>
        <w:rPr>
          <w:b/>
          <w:color w:val="602041"/>
          <w:spacing w:val="-5"/>
          <w:sz w:val="48"/>
        </w:rPr>
        <w:t> </w:t>
      </w:r>
      <w:r>
        <w:rPr>
          <w:b/>
          <w:color w:val="602041"/>
          <w:sz w:val="48"/>
        </w:rPr>
        <w:t>Correntes</w:t>
      </w:r>
      <w:r>
        <w:rPr>
          <w:b/>
          <w:color w:val="602041"/>
          <w:spacing w:val="-4"/>
          <w:sz w:val="48"/>
        </w:rPr>
        <w:t> </w:t>
      </w:r>
      <w:r>
        <w:rPr>
          <w:b/>
          <w:color w:val="602041"/>
          <w:sz w:val="48"/>
        </w:rPr>
        <w:t>X</w:t>
      </w:r>
      <w:r>
        <w:rPr>
          <w:b/>
          <w:color w:val="602041"/>
          <w:spacing w:val="-3"/>
          <w:sz w:val="48"/>
        </w:rPr>
        <w:t> </w:t>
      </w:r>
      <w:r>
        <w:rPr>
          <w:b/>
          <w:color w:val="602041"/>
          <w:sz w:val="48"/>
        </w:rPr>
        <w:t>Despesas</w:t>
      </w:r>
      <w:r>
        <w:rPr>
          <w:b/>
          <w:color w:val="602041"/>
          <w:spacing w:val="-3"/>
          <w:sz w:val="48"/>
        </w:rPr>
        <w:t> </w:t>
      </w:r>
      <w:r>
        <w:rPr>
          <w:b/>
          <w:color w:val="602041"/>
          <w:sz w:val="48"/>
        </w:rPr>
        <w:t>com</w:t>
      </w:r>
      <w:r>
        <w:rPr>
          <w:b/>
          <w:color w:val="602041"/>
          <w:spacing w:val="-3"/>
          <w:sz w:val="48"/>
        </w:rPr>
        <w:t> </w:t>
      </w:r>
      <w:r>
        <w:rPr>
          <w:b/>
          <w:color w:val="602041"/>
          <w:spacing w:val="-2"/>
          <w:sz w:val="48"/>
        </w:rPr>
        <w:t>Pessoal).</w:t>
      </w:r>
    </w:p>
    <w:p>
      <w:pPr>
        <w:spacing w:after="0"/>
        <w:jc w:val="center"/>
        <w:rPr>
          <w:sz w:val="48"/>
        </w:rPr>
        <w:sectPr>
          <w:headerReference w:type="default" r:id="rId32"/>
          <w:footerReference w:type="default" r:id="rId33"/>
          <w:pgSz w:w="11910" w:h="16840"/>
          <w:pgMar w:header="705" w:footer="261" w:top="1580" w:bottom="460" w:left="740" w:right="740"/>
          <w:pgNumType w:start="29"/>
        </w:sectPr>
      </w:pPr>
    </w:p>
    <w:p>
      <w:pPr>
        <w:pStyle w:val="Heading4"/>
        <w:spacing w:before="4"/>
        <w:ind w:right="108"/>
        <w:jc w:val="right"/>
      </w:pPr>
      <w:bookmarkStart w:name="_bookmark23" w:id="24"/>
      <w:bookmarkEnd w:id="24"/>
      <w:r>
        <w:rPr>
          <w:b w:val="0"/>
        </w:rPr>
      </w:r>
      <w:r>
        <w:rPr/>
        <w:t>Anexo</w:t>
      </w:r>
      <w:r>
        <w:rPr>
          <w:spacing w:val="-5"/>
        </w:rPr>
        <w:t> </w:t>
      </w:r>
      <w:r>
        <w:rPr/>
        <w:t>5.</w:t>
      </w:r>
      <w:r>
        <w:rPr>
          <w:spacing w:val="-2"/>
        </w:rPr>
        <w:t> </w:t>
      </w:r>
      <w:r>
        <w:rPr/>
        <w:t>Demonstrativo</w:t>
      </w:r>
      <w:r>
        <w:rPr>
          <w:spacing w:val="-5"/>
        </w:rPr>
        <w:t> </w:t>
      </w:r>
      <w:r>
        <w:rPr/>
        <w:t>Comparativo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Limites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Destinação</w:t>
      </w:r>
      <w:r>
        <w:rPr>
          <w:spacing w:val="-3"/>
        </w:rPr>
        <w:t> </w:t>
      </w:r>
      <w:r>
        <w:rPr/>
        <w:t>Estratégica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Recursos</w:t>
      </w:r>
      <w:r>
        <w:rPr>
          <w:spacing w:val="9"/>
        </w:rPr>
        <w:t> </w:t>
      </w:r>
      <w:r>
        <w:rPr>
          <w:spacing w:val="-5"/>
        </w:rPr>
        <w:t>dos</w:t>
      </w:r>
    </w:p>
    <w:p>
      <w:pPr>
        <w:spacing w:before="0"/>
        <w:ind w:left="0" w:right="113" w:firstLine="0"/>
        <w:jc w:val="right"/>
        <w:rPr>
          <w:b/>
          <w:sz w:val="24"/>
        </w:rPr>
      </w:pPr>
      <w:r>
        <w:rPr>
          <w:b/>
          <w:sz w:val="24"/>
        </w:rPr>
        <w:t>CAU/UF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CAU/BR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(Receitas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Correntes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Despesas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Pessoal)</w:t>
      </w: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6459902" cy="7932420"/>
            <wp:effectExtent l="0" t="0" r="0" b="0"/>
            <wp:docPr id="3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902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6"/>
        </w:numPr>
        <w:tabs>
          <w:tab w:pos="250" w:val="left" w:leader="none"/>
        </w:tabs>
        <w:spacing w:line="240" w:lineRule="auto" w:before="3" w:after="0"/>
        <w:ind w:left="112" w:right="112" w:firstLine="0"/>
        <w:jc w:val="left"/>
        <w:rPr>
          <w:sz w:val="18"/>
        </w:rPr>
      </w:pPr>
      <w:r>
        <w:rPr>
          <w:sz w:val="18"/>
        </w:rPr>
        <w:t>Despesas</w:t>
      </w:r>
      <w:r>
        <w:rPr>
          <w:spacing w:val="15"/>
          <w:sz w:val="18"/>
        </w:rPr>
        <w:t> </w:t>
      </w:r>
      <w:r>
        <w:rPr>
          <w:sz w:val="18"/>
        </w:rPr>
        <w:t>com</w:t>
      </w:r>
      <w:r>
        <w:rPr>
          <w:spacing w:val="16"/>
          <w:sz w:val="18"/>
        </w:rPr>
        <w:t> </w:t>
      </w:r>
      <w:r>
        <w:rPr>
          <w:sz w:val="18"/>
        </w:rPr>
        <w:t>Pessoal</w:t>
      </w:r>
      <w:r>
        <w:rPr>
          <w:spacing w:val="15"/>
          <w:sz w:val="18"/>
        </w:rPr>
        <w:t> </w:t>
      </w:r>
      <w:r>
        <w:rPr>
          <w:sz w:val="18"/>
        </w:rPr>
        <w:t>(Salários</w:t>
      </w:r>
      <w:r>
        <w:rPr>
          <w:spacing w:val="15"/>
          <w:sz w:val="18"/>
        </w:rPr>
        <w:t> </w:t>
      </w:r>
      <w:r>
        <w:rPr>
          <w:sz w:val="18"/>
        </w:rPr>
        <w:t>e</w:t>
      </w:r>
      <w:r>
        <w:rPr>
          <w:spacing w:val="15"/>
          <w:sz w:val="18"/>
        </w:rPr>
        <w:t> </w:t>
      </w:r>
      <w:r>
        <w:rPr>
          <w:sz w:val="18"/>
        </w:rPr>
        <w:t>Encargos)</w:t>
      </w:r>
      <w:r>
        <w:rPr>
          <w:spacing w:val="16"/>
          <w:sz w:val="18"/>
        </w:rPr>
        <w:t> </w:t>
      </w:r>
      <w:r>
        <w:rPr>
          <w:sz w:val="18"/>
        </w:rPr>
        <w:t>para</w:t>
      </w:r>
      <w:r>
        <w:rPr>
          <w:spacing w:val="16"/>
          <w:sz w:val="18"/>
        </w:rPr>
        <w:t> </w:t>
      </w:r>
      <w:r>
        <w:rPr>
          <w:sz w:val="18"/>
        </w:rPr>
        <w:t>efeito</w:t>
      </w:r>
      <w:r>
        <w:rPr>
          <w:spacing w:val="16"/>
          <w:sz w:val="18"/>
        </w:rPr>
        <w:t> </w:t>
      </w:r>
      <w:r>
        <w:rPr>
          <w:sz w:val="18"/>
        </w:rPr>
        <w:t>do cálculo</w:t>
      </w:r>
      <w:r>
        <w:rPr>
          <w:spacing w:val="16"/>
          <w:sz w:val="18"/>
        </w:rPr>
        <w:t> </w:t>
      </w:r>
      <w:r>
        <w:rPr>
          <w:sz w:val="18"/>
        </w:rPr>
        <w:t>do</w:t>
      </w:r>
      <w:r>
        <w:rPr>
          <w:spacing w:val="16"/>
          <w:sz w:val="18"/>
        </w:rPr>
        <w:t> </w:t>
      </w:r>
      <w:r>
        <w:rPr>
          <w:sz w:val="18"/>
        </w:rPr>
        <w:t>limite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pessoal</w:t>
      </w:r>
      <w:r>
        <w:rPr>
          <w:spacing w:val="15"/>
          <w:sz w:val="18"/>
        </w:rPr>
        <w:t> </w:t>
      </w:r>
      <w:r>
        <w:rPr>
          <w:sz w:val="18"/>
        </w:rPr>
        <w:t>não</w:t>
      </w:r>
      <w:r>
        <w:rPr>
          <w:spacing w:val="17"/>
          <w:sz w:val="18"/>
        </w:rPr>
        <w:t> </w:t>
      </w:r>
      <w:r>
        <w:rPr>
          <w:sz w:val="18"/>
        </w:rPr>
        <w:t>consideramos</w:t>
      </w:r>
      <w:r>
        <w:rPr>
          <w:spacing w:val="22"/>
          <w:sz w:val="18"/>
        </w:rPr>
        <w:t> </w:t>
      </w:r>
      <w:r>
        <w:rPr>
          <w:sz w:val="18"/>
        </w:rPr>
        <w:t>as</w:t>
      </w:r>
      <w:r>
        <w:rPr>
          <w:spacing w:val="15"/>
          <w:sz w:val="18"/>
        </w:rPr>
        <w:t> </w:t>
      </w:r>
      <w:r>
        <w:rPr>
          <w:sz w:val="18"/>
        </w:rPr>
        <w:t>despesas</w:t>
      </w:r>
      <w:r>
        <w:rPr>
          <w:spacing w:val="15"/>
          <w:sz w:val="18"/>
        </w:rPr>
        <w:t> </w:t>
      </w:r>
      <w:r>
        <w:rPr>
          <w:sz w:val="18"/>
        </w:rPr>
        <w:t>decorrentes</w:t>
      </w:r>
      <w:r>
        <w:rPr>
          <w:spacing w:val="15"/>
          <w:sz w:val="18"/>
        </w:rPr>
        <w:t> </w:t>
      </w:r>
      <w:r>
        <w:rPr>
          <w:sz w:val="18"/>
        </w:rPr>
        <w:t>de rescisões contratuais, auxílio alimentação, auxílio transporte, plano de saúde e demais benefícios.</w:t>
      </w:r>
    </w:p>
    <w:p>
      <w:pPr>
        <w:pStyle w:val="ListParagraph"/>
        <w:numPr>
          <w:ilvl w:val="0"/>
          <w:numId w:val="6"/>
        </w:numPr>
        <w:tabs>
          <w:tab w:pos="290" w:val="left" w:leader="none"/>
        </w:tabs>
        <w:spacing w:line="219" w:lineRule="exact" w:before="0" w:after="0"/>
        <w:ind w:left="289" w:right="0" w:hanging="178"/>
        <w:jc w:val="left"/>
        <w:rPr>
          <w:sz w:val="18"/>
        </w:rPr>
      </w:pPr>
      <w:r>
        <w:rPr>
          <w:sz w:val="18"/>
        </w:rPr>
        <w:t>O</w:t>
      </w:r>
      <w:r>
        <w:rPr>
          <w:spacing w:val="-4"/>
          <w:sz w:val="18"/>
        </w:rPr>
        <w:t> </w:t>
      </w:r>
      <w:r>
        <w:rPr>
          <w:sz w:val="18"/>
        </w:rPr>
        <w:t>CAU/RS</w:t>
      </w:r>
      <w:r>
        <w:rPr>
          <w:spacing w:val="-1"/>
          <w:sz w:val="18"/>
        </w:rPr>
        <w:t> </w:t>
      </w:r>
      <w:r>
        <w:rPr>
          <w:sz w:val="18"/>
        </w:rPr>
        <w:t>e</w:t>
      </w:r>
      <w:r>
        <w:rPr>
          <w:spacing w:val="-2"/>
          <w:sz w:val="18"/>
        </w:rPr>
        <w:t> </w:t>
      </w:r>
      <w:r>
        <w:rPr>
          <w:sz w:val="18"/>
        </w:rPr>
        <w:t>CAU/PI</w:t>
      </w:r>
      <w:r>
        <w:rPr>
          <w:spacing w:val="-1"/>
          <w:sz w:val="18"/>
        </w:rPr>
        <w:t> </w:t>
      </w:r>
      <w:r>
        <w:rPr>
          <w:sz w:val="18"/>
        </w:rPr>
        <w:t>ultrapassou</w:t>
      </w:r>
      <w:r>
        <w:rPr>
          <w:spacing w:val="-2"/>
          <w:sz w:val="18"/>
        </w:rPr>
        <w:t> </w:t>
      </w:r>
      <w:r>
        <w:rPr>
          <w:sz w:val="18"/>
        </w:rPr>
        <w:t>o limite</w:t>
      </w:r>
      <w:r>
        <w:rPr>
          <w:spacing w:val="-2"/>
          <w:sz w:val="18"/>
        </w:rPr>
        <w:t> </w:t>
      </w:r>
      <w:r>
        <w:rPr>
          <w:sz w:val="18"/>
        </w:rPr>
        <w:t>máximo de</w:t>
      </w:r>
      <w:r>
        <w:rPr>
          <w:spacing w:val="-2"/>
          <w:sz w:val="18"/>
        </w:rPr>
        <w:t> </w:t>
      </w:r>
      <w:r>
        <w:rPr>
          <w:sz w:val="18"/>
        </w:rPr>
        <w:t>55%</w:t>
      </w:r>
      <w:r>
        <w:rPr>
          <w:spacing w:val="-1"/>
          <w:sz w:val="18"/>
        </w:rPr>
        <w:t> </w:t>
      </w:r>
      <w:r>
        <w:rPr>
          <w:sz w:val="18"/>
        </w:rPr>
        <w:t>previsto</w:t>
      </w:r>
      <w:r>
        <w:rPr>
          <w:spacing w:val="-1"/>
          <w:sz w:val="18"/>
        </w:rPr>
        <w:t> </w:t>
      </w:r>
      <w:r>
        <w:rPr>
          <w:sz w:val="18"/>
        </w:rPr>
        <w:t>nas</w:t>
      </w:r>
      <w:r>
        <w:rPr>
          <w:spacing w:val="-2"/>
          <w:sz w:val="18"/>
        </w:rPr>
        <w:t> </w:t>
      </w:r>
      <w:r>
        <w:rPr>
          <w:sz w:val="18"/>
        </w:rPr>
        <w:t>Diretrizes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Reprogramação do</w:t>
      </w:r>
      <w:r>
        <w:rPr>
          <w:spacing w:val="-1"/>
          <w:sz w:val="18"/>
        </w:rPr>
        <w:t> </w:t>
      </w:r>
      <w:r>
        <w:rPr>
          <w:sz w:val="18"/>
        </w:rPr>
        <w:t>CAU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2022.</w:t>
      </w:r>
    </w:p>
    <w:p>
      <w:pPr>
        <w:pStyle w:val="ListParagraph"/>
        <w:numPr>
          <w:ilvl w:val="0"/>
          <w:numId w:val="6"/>
        </w:numPr>
        <w:tabs>
          <w:tab w:pos="250" w:val="left" w:leader="none"/>
        </w:tabs>
        <w:spacing w:line="240" w:lineRule="auto" w:before="1" w:after="0"/>
        <w:ind w:left="112" w:right="109" w:firstLine="0"/>
        <w:jc w:val="left"/>
        <w:rPr>
          <w:sz w:val="18"/>
        </w:rPr>
      </w:pPr>
      <w:r>
        <w:rPr>
          <w:sz w:val="18"/>
        </w:rPr>
        <w:t>Os</w:t>
      </w:r>
      <w:r>
        <w:rPr>
          <w:spacing w:val="26"/>
          <w:sz w:val="18"/>
        </w:rPr>
        <w:t> </w:t>
      </w:r>
      <w:r>
        <w:rPr>
          <w:sz w:val="18"/>
        </w:rPr>
        <w:t>dados</w:t>
      </w:r>
      <w:r>
        <w:rPr>
          <w:spacing w:val="28"/>
          <w:sz w:val="18"/>
        </w:rPr>
        <w:t> </w:t>
      </w:r>
      <w:r>
        <w:rPr>
          <w:sz w:val="18"/>
        </w:rPr>
        <w:t>dos</w:t>
      </w:r>
      <w:r>
        <w:rPr>
          <w:spacing w:val="27"/>
          <w:sz w:val="18"/>
        </w:rPr>
        <w:t> </w:t>
      </w:r>
      <w:r>
        <w:rPr>
          <w:sz w:val="18"/>
        </w:rPr>
        <w:t>CAU/AM</w:t>
      </w:r>
      <w:r>
        <w:rPr>
          <w:spacing w:val="29"/>
          <w:sz w:val="18"/>
        </w:rPr>
        <w:t> </w:t>
      </w:r>
      <w:r>
        <w:rPr>
          <w:sz w:val="18"/>
        </w:rPr>
        <w:t>e</w:t>
      </w:r>
      <w:r>
        <w:rPr>
          <w:spacing w:val="26"/>
          <w:sz w:val="18"/>
        </w:rPr>
        <w:t> </w:t>
      </w:r>
      <w:r>
        <w:rPr>
          <w:sz w:val="18"/>
        </w:rPr>
        <w:t>CAU/SP,</w:t>
      </w:r>
      <w:r>
        <w:rPr>
          <w:spacing w:val="28"/>
          <w:sz w:val="18"/>
        </w:rPr>
        <w:t> </w:t>
      </w:r>
      <w:r>
        <w:rPr>
          <w:sz w:val="18"/>
        </w:rPr>
        <w:t>no</w:t>
      </w:r>
      <w:r>
        <w:rPr>
          <w:spacing w:val="27"/>
          <w:sz w:val="18"/>
        </w:rPr>
        <w:t> </w:t>
      </w:r>
      <w:r>
        <w:rPr>
          <w:sz w:val="18"/>
        </w:rPr>
        <w:t>tocante</w:t>
      </w:r>
      <w:r>
        <w:rPr>
          <w:spacing w:val="26"/>
          <w:sz w:val="18"/>
        </w:rPr>
        <w:t> </w:t>
      </w:r>
      <w:r>
        <w:rPr>
          <w:sz w:val="18"/>
        </w:rPr>
        <w:t>à</w:t>
      </w:r>
      <w:r>
        <w:rPr>
          <w:spacing w:val="29"/>
          <w:sz w:val="18"/>
        </w:rPr>
        <w:t> </w:t>
      </w:r>
      <w:r>
        <w:rPr>
          <w:sz w:val="18"/>
        </w:rPr>
        <w:t>Programação</w:t>
      </w:r>
      <w:r>
        <w:rPr>
          <w:spacing w:val="28"/>
          <w:sz w:val="18"/>
        </w:rPr>
        <w:t> </w:t>
      </w:r>
      <w:r>
        <w:rPr>
          <w:sz w:val="18"/>
        </w:rPr>
        <w:t>2022,</w:t>
      </w:r>
      <w:r>
        <w:rPr>
          <w:spacing w:val="27"/>
          <w:sz w:val="18"/>
        </w:rPr>
        <w:t> </w:t>
      </w:r>
      <w:r>
        <w:rPr>
          <w:sz w:val="18"/>
        </w:rPr>
        <w:t>estão</w:t>
      </w:r>
      <w:r>
        <w:rPr>
          <w:spacing w:val="28"/>
          <w:sz w:val="18"/>
        </w:rPr>
        <w:t> </w:t>
      </w:r>
      <w:r>
        <w:rPr>
          <w:sz w:val="18"/>
        </w:rPr>
        <w:t>em</w:t>
      </w:r>
      <w:r>
        <w:rPr>
          <w:spacing w:val="29"/>
          <w:sz w:val="18"/>
        </w:rPr>
        <w:t> </w:t>
      </w:r>
      <w:r>
        <w:rPr>
          <w:sz w:val="18"/>
        </w:rPr>
        <w:t>conformidade</w:t>
      </w:r>
      <w:r>
        <w:rPr>
          <w:spacing w:val="26"/>
          <w:sz w:val="18"/>
        </w:rPr>
        <w:t> </w:t>
      </w:r>
      <w:r>
        <w:rPr>
          <w:sz w:val="18"/>
        </w:rPr>
        <w:t>com</w:t>
      </w:r>
      <w:r>
        <w:rPr>
          <w:spacing w:val="27"/>
          <w:sz w:val="18"/>
        </w:rPr>
        <w:t> </w:t>
      </w:r>
      <w:r>
        <w:rPr>
          <w:sz w:val="18"/>
        </w:rPr>
        <w:t>as</w:t>
      </w:r>
      <w:r>
        <w:rPr>
          <w:spacing w:val="26"/>
          <w:sz w:val="18"/>
        </w:rPr>
        <w:t> </w:t>
      </w:r>
      <w:r>
        <w:rPr>
          <w:sz w:val="18"/>
        </w:rPr>
        <w:t>propostas</w:t>
      </w:r>
      <w:r>
        <w:rPr>
          <w:spacing w:val="28"/>
          <w:sz w:val="18"/>
        </w:rPr>
        <w:t> </w:t>
      </w:r>
      <w:r>
        <w:rPr>
          <w:sz w:val="18"/>
        </w:rPr>
        <w:t>das</w:t>
      </w:r>
      <w:r>
        <w:rPr>
          <w:spacing w:val="28"/>
          <w:sz w:val="18"/>
        </w:rPr>
        <w:t> </w:t>
      </w:r>
      <w:r>
        <w:rPr>
          <w:sz w:val="18"/>
        </w:rPr>
        <w:t>Reprogramações Extraordinárias aprovadas para esses CAU/UF, uma vez que ocorreram em data anterior à Reprogramação Ordinária.</w:t>
      </w:r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705" w:footer="261" w:top="1580" w:bottom="460" w:left="7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66"/>
      </w:pPr>
      <w:r>
        <w:rPr>
          <w:color w:val="602041"/>
        </w:rPr>
        <w:t>ANEXO </w:t>
      </w:r>
      <w:r>
        <w:rPr>
          <w:color w:val="602041"/>
          <w:spacing w:val="-10"/>
        </w:rPr>
        <w:t>6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 w:before="320"/>
        <w:ind w:left="858"/>
      </w:pPr>
      <w:r>
        <w:rPr>
          <w:color w:val="602041"/>
        </w:rPr>
        <w:t>Demonstrativo dos Limites de Destinação Estratégica</w:t>
      </w:r>
      <w:r>
        <w:rPr>
          <w:color w:val="602041"/>
          <w:spacing w:val="-7"/>
        </w:rPr>
        <w:t> </w:t>
      </w:r>
      <w:r>
        <w:rPr>
          <w:color w:val="602041"/>
        </w:rPr>
        <w:t>de</w:t>
      </w:r>
      <w:r>
        <w:rPr>
          <w:color w:val="602041"/>
          <w:spacing w:val="-6"/>
        </w:rPr>
        <w:t> </w:t>
      </w:r>
      <w:r>
        <w:rPr>
          <w:color w:val="602041"/>
        </w:rPr>
        <w:t>Recursos</w:t>
      </w:r>
      <w:r>
        <w:rPr>
          <w:color w:val="602041"/>
          <w:spacing w:val="-4"/>
        </w:rPr>
        <w:t> </w:t>
      </w:r>
      <w:r>
        <w:rPr>
          <w:color w:val="602041"/>
        </w:rPr>
        <w:t>dos</w:t>
      </w:r>
      <w:r>
        <w:rPr>
          <w:color w:val="602041"/>
          <w:spacing w:val="-6"/>
        </w:rPr>
        <w:t> </w:t>
      </w:r>
      <w:r>
        <w:rPr>
          <w:color w:val="602041"/>
        </w:rPr>
        <w:t>CAU/UF</w:t>
      </w:r>
      <w:r>
        <w:rPr>
          <w:color w:val="602041"/>
          <w:spacing w:val="-6"/>
        </w:rPr>
        <w:t> </w:t>
      </w:r>
      <w:r>
        <w:rPr>
          <w:color w:val="602041"/>
        </w:rPr>
        <w:t>e</w:t>
      </w:r>
      <w:r>
        <w:rPr>
          <w:color w:val="602041"/>
          <w:spacing w:val="-6"/>
        </w:rPr>
        <w:t> </w:t>
      </w:r>
      <w:r>
        <w:rPr>
          <w:color w:val="602041"/>
        </w:rPr>
        <w:t>CAU/BR (demais destinações)</w:t>
      </w:r>
    </w:p>
    <w:p>
      <w:pPr>
        <w:spacing w:after="0" w:line="360" w:lineRule="auto"/>
        <w:sectPr>
          <w:pgSz w:w="11910" w:h="16840"/>
          <w:pgMar w:header="705" w:footer="261" w:top="1580" w:bottom="460" w:left="74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Heading4"/>
        <w:spacing w:before="52"/>
        <w:ind w:left="4219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ragraph">
              <wp:posOffset>-533172</wp:posOffset>
            </wp:positionV>
            <wp:extent cx="10692383" cy="563091"/>
            <wp:effectExtent l="0" t="0" r="0" b="0"/>
            <wp:wrapNone/>
            <wp:docPr id="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4" w:id="25"/>
      <w:bookmarkEnd w:id="25"/>
      <w:r>
        <w:rPr>
          <w:b w:val="0"/>
        </w:rPr>
      </w:r>
      <w:r>
        <w:rPr/>
        <w:t>Anexo</w:t>
      </w:r>
      <w:r>
        <w:rPr>
          <w:spacing w:val="-4"/>
        </w:rPr>
        <w:t> </w:t>
      </w:r>
      <w:r>
        <w:rPr/>
        <w:t>6.</w:t>
      </w:r>
      <w:r>
        <w:rPr>
          <w:spacing w:val="-2"/>
        </w:rPr>
        <w:t> </w:t>
      </w:r>
      <w:r>
        <w:rPr/>
        <w:t>Demonstrativo</w:t>
      </w:r>
      <w:r>
        <w:rPr>
          <w:spacing w:val="-4"/>
        </w:rPr>
        <w:t> </w:t>
      </w:r>
      <w:r>
        <w:rPr/>
        <w:t>dos</w:t>
      </w:r>
      <w:r>
        <w:rPr>
          <w:spacing w:val="-2"/>
        </w:rPr>
        <w:t> </w:t>
      </w:r>
      <w:r>
        <w:rPr/>
        <w:t>Limites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Destinação</w:t>
      </w:r>
      <w:r>
        <w:rPr>
          <w:spacing w:val="-2"/>
        </w:rPr>
        <w:t> </w:t>
      </w:r>
      <w:r>
        <w:rPr/>
        <w:t>Estratégica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Recursos</w:t>
      </w:r>
      <w:r>
        <w:rPr>
          <w:spacing w:val="6"/>
        </w:rPr>
        <w:t> </w:t>
      </w:r>
      <w:r>
        <w:rPr/>
        <w:t>dos</w:t>
      </w:r>
      <w:r>
        <w:rPr>
          <w:spacing w:val="-3"/>
        </w:rPr>
        <w:t> </w:t>
      </w:r>
      <w:r>
        <w:rPr/>
        <w:t>CAU/UF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CAU/BR</w:t>
      </w:r>
      <w:r>
        <w:rPr>
          <w:spacing w:val="-1"/>
        </w:rPr>
        <w:t> </w:t>
      </w:r>
      <w:r>
        <w:rPr/>
        <w:t>(demais</w:t>
      </w:r>
      <w:r>
        <w:rPr>
          <w:spacing w:val="-2"/>
        </w:rPr>
        <w:t> destinações)</w:t>
      </w:r>
    </w:p>
    <w:p>
      <w:pPr>
        <w:pStyle w:val="BodyText"/>
        <w:ind w:left="1560"/>
        <w:rPr>
          <w:sz w:val="20"/>
        </w:rPr>
      </w:pPr>
      <w:r>
        <w:rPr>
          <w:sz w:val="20"/>
        </w:rPr>
        <w:drawing>
          <wp:inline distT="0" distB="0" distL="0" distR="0">
            <wp:extent cx="9340644" cy="4233672"/>
            <wp:effectExtent l="0" t="0" r="0" b="0"/>
            <wp:docPr id="4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0644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</w:rPr>
      </w:pPr>
    </w:p>
    <w:p>
      <w:pPr>
        <w:spacing w:before="0"/>
        <w:ind w:left="1586" w:right="0" w:firstLine="0"/>
        <w:jc w:val="left"/>
        <w:rPr>
          <w:sz w:val="18"/>
        </w:rPr>
      </w:pPr>
      <w:r>
        <w:rPr>
          <w:sz w:val="18"/>
        </w:rPr>
        <w:t>Os</w:t>
      </w:r>
      <w:r>
        <w:rPr>
          <w:spacing w:val="-6"/>
          <w:sz w:val="18"/>
        </w:rPr>
        <w:t> </w:t>
      </w:r>
      <w:r>
        <w:rPr>
          <w:sz w:val="18"/>
        </w:rPr>
        <w:t>CAU/UF</w:t>
      </w:r>
      <w:r>
        <w:rPr>
          <w:spacing w:val="-4"/>
          <w:sz w:val="18"/>
        </w:rPr>
        <w:t> </w:t>
      </w:r>
      <w:r>
        <w:rPr>
          <w:sz w:val="18"/>
        </w:rPr>
        <w:t>flexibilizaram,</w:t>
      </w:r>
      <w:r>
        <w:rPr>
          <w:spacing w:val="-3"/>
          <w:sz w:val="18"/>
        </w:rPr>
        <w:t> </w:t>
      </w:r>
      <w:r>
        <w:rPr>
          <w:sz w:val="18"/>
        </w:rPr>
        <w:t>mediante</w:t>
      </w:r>
      <w:r>
        <w:rPr>
          <w:spacing w:val="-4"/>
          <w:sz w:val="18"/>
        </w:rPr>
        <w:t> </w:t>
      </w:r>
      <w:r>
        <w:rPr>
          <w:sz w:val="18"/>
        </w:rPr>
        <w:t>justificativas</w:t>
      </w:r>
      <w:r>
        <w:rPr>
          <w:spacing w:val="-2"/>
          <w:sz w:val="18"/>
        </w:rPr>
        <w:t> </w:t>
      </w:r>
      <w:r>
        <w:rPr>
          <w:sz w:val="18"/>
        </w:rPr>
        <w:t>próprias,</w:t>
      </w:r>
      <w:r>
        <w:rPr>
          <w:spacing w:val="-2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limite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Capacitação:</w:t>
      </w:r>
      <w:r>
        <w:rPr>
          <w:spacing w:val="-2"/>
          <w:sz w:val="18"/>
        </w:rPr>
        <w:t> </w:t>
      </w:r>
      <w:r>
        <w:rPr>
          <w:sz w:val="18"/>
        </w:rPr>
        <w:t>PE,</w:t>
      </w:r>
      <w:r>
        <w:rPr>
          <w:spacing w:val="-3"/>
          <w:sz w:val="18"/>
        </w:rPr>
        <w:t> </w:t>
      </w:r>
      <w:r>
        <w:rPr>
          <w:sz w:val="18"/>
        </w:rPr>
        <w:t>ES</w:t>
      </w:r>
      <w:r>
        <w:rPr>
          <w:spacing w:val="-4"/>
          <w:sz w:val="18"/>
        </w:rPr>
        <w:t> </w:t>
      </w:r>
      <w:r>
        <w:rPr>
          <w:sz w:val="18"/>
        </w:rPr>
        <w:t>e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RS.</w:t>
      </w:r>
    </w:p>
    <w:p>
      <w:pPr>
        <w:spacing w:after="0"/>
        <w:jc w:val="left"/>
        <w:rPr>
          <w:sz w:val="18"/>
        </w:rPr>
        <w:sectPr>
          <w:headerReference w:type="default" r:id="rId35"/>
          <w:footerReference w:type="default" r:id="rId36"/>
          <w:pgSz w:w="16840" w:h="11910" w:orient="landscape"/>
          <w:pgMar w:header="0" w:footer="261" w:top="700" w:bottom="4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ind w:left="560" w:right="630"/>
      </w:pPr>
      <w:r>
        <w:rPr>
          <w:color w:val="602041"/>
        </w:rPr>
        <w:t>ANEXO </w:t>
      </w:r>
      <w:r>
        <w:rPr>
          <w:color w:val="602041"/>
          <w:spacing w:val="-10"/>
        </w:rPr>
        <w:t>7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 w:before="320"/>
        <w:ind w:right="176" w:firstLine="2"/>
      </w:pPr>
      <w:r>
        <w:rPr>
          <w:color w:val="602041"/>
        </w:rPr>
        <w:t>Reprogramações do Planos de Ação e Orçamento</w:t>
      </w:r>
      <w:r>
        <w:rPr>
          <w:color w:val="602041"/>
          <w:spacing w:val="-5"/>
        </w:rPr>
        <w:t> </w:t>
      </w:r>
      <w:r>
        <w:rPr>
          <w:color w:val="602041"/>
        </w:rPr>
        <w:t>do</w:t>
      </w:r>
      <w:r>
        <w:rPr>
          <w:color w:val="602041"/>
          <w:spacing w:val="-5"/>
        </w:rPr>
        <w:t> </w:t>
      </w:r>
      <w:r>
        <w:rPr>
          <w:color w:val="602041"/>
        </w:rPr>
        <w:t>CAU</w:t>
      </w:r>
      <w:r>
        <w:rPr>
          <w:color w:val="602041"/>
          <w:spacing w:val="-4"/>
        </w:rPr>
        <w:t> </w:t>
      </w:r>
      <w:r>
        <w:rPr>
          <w:color w:val="602041"/>
        </w:rPr>
        <w:t>2022</w:t>
      </w:r>
      <w:r>
        <w:rPr>
          <w:color w:val="602041"/>
          <w:spacing w:val="-5"/>
        </w:rPr>
        <w:t> </w:t>
      </w:r>
      <w:r>
        <w:rPr>
          <w:color w:val="602041"/>
        </w:rPr>
        <w:t>dos</w:t>
      </w:r>
      <w:r>
        <w:rPr>
          <w:color w:val="602041"/>
          <w:spacing w:val="-6"/>
        </w:rPr>
        <w:t> </w:t>
      </w:r>
      <w:r>
        <w:rPr>
          <w:color w:val="602041"/>
        </w:rPr>
        <w:t>CAU/UF</w:t>
      </w:r>
      <w:r>
        <w:rPr>
          <w:color w:val="602041"/>
          <w:spacing w:val="-6"/>
        </w:rPr>
        <w:t> </w:t>
      </w:r>
      <w:r>
        <w:rPr>
          <w:color w:val="602041"/>
        </w:rPr>
        <w:t>e</w:t>
      </w:r>
      <w:r>
        <w:rPr>
          <w:color w:val="602041"/>
          <w:spacing w:val="-6"/>
        </w:rPr>
        <w:t> </w:t>
      </w:r>
      <w:r>
        <w:rPr>
          <w:color w:val="602041"/>
        </w:rPr>
        <w:t>CAU/BR</w:t>
      </w:r>
    </w:p>
    <w:p>
      <w:pPr>
        <w:spacing w:before="160"/>
        <w:ind w:left="560" w:right="632" w:firstLine="0"/>
        <w:jc w:val="center"/>
        <w:rPr>
          <w:b/>
          <w:sz w:val="48"/>
        </w:rPr>
      </w:pPr>
      <w:r>
        <w:rPr>
          <w:b/>
          <w:color w:val="602041"/>
          <w:sz w:val="48"/>
        </w:rPr>
        <w:t>(Links</w:t>
      </w:r>
      <w:r>
        <w:rPr>
          <w:b/>
          <w:color w:val="602041"/>
          <w:spacing w:val="-5"/>
          <w:sz w:val="48"/>
        </w:rPr>
        <w:t> </w:t>
      </w:r>
      <w:r>
        <w:rPr>
          <w:b/>
          <w:color w:val="602041"/>
          <w:sz w:val="48"/>
        </w:rPr>
        <w:t>para</w:t>
      </w:r>
      <w:r>
        <w:rPr>
          <w:b/>
          <w:color w:val="602041"/>
          <w:spacing w:val="-2"/>
          <w:sz w:val="48"/>
        </w:rPr>
        <w:t> </w:t>
      </w:r>
      <w:r>
        <w:rPr>
          <w:b/>
          <w:color w:val="602041"/>
          <w:sz w:val="48"/>
        </w:rPr>
        <w:t>acesso</w:t>
      </w:r>
      <w:r>
        <w:rPr>
          <w:b/>
          <w:color w:val="602041"/>
          <w:spacing w:val="-2"/>
          <w:sz w:val="48"/>
        </w:rPr>
        <w:t> </w:t>
      </w:r>
      <w:r>
        <w:rPr>
          <w:b/>
          <w:color w:val="602041"/>
          <w:sz w:val="48"/>
        </w:rPr>
        <w:t>no</w:t>
      </w:r>
      <w:r>
        <w:rPr>
          <w:b/>
          <w:color w:val="602041"/>
          <w:spacing w:val="-2"/>
          <w:sz w:val="48"/>
        </w:rPr>
        <w:t> </w:t>
      </w:r>
      <w:r>
        <w:rPr>
          <w:b/>
          <w:color w:val="602041"/>
          <w:sz w:val="48"/>
        </w:rPr>
        <w:t>Portal</w:t>
      </w:r>
      <w:r>
        <w:rPr>
          <w:b/>
          <w:color w:val="602041"/>
          <w:spacing w:val="-3"/>
          <w:sz w:val="48"/>
        </w:rPr>
        <w:t> </w:t>
      </w:r>
      <w:r>
        <w:rPr>
          <w:b/>
          <w:color w:val="602041"/>
          <w:spacing w:val="-2"/>
          <w:sz w:val="48"/>
        </w:rPr>
        <w:t>Transparência)</w:t>
      </w:r>
    </w:p>
    <w:p>
      <w:pPr>
        <w:spacing w:after="0"/>
        <w:jc w:val="center"/>
        <w:rPr>
          <w:sz w:val="48"/>
        </w:rPr>
        <w:sectPr>
          <w:headerReference w:type="default" r:id="rId39"/>
          <w:footerReference w:type="default" r:id="rId40"/>
          <w:pgSz w:w="11910" w:h="16840"/>
          <w:pgMar w:header="703" w:footer="261" w:top="1580" w:bottom="460" w:left="1380" w:right="740"/>
          <w:pgNumType w:start="33"/>
        </w:sectPr>
      </w:pPr>
    </w:p>
    <w:p>
      <w:pPr>
        <w:pStyle w:val="Heading4"/>
        <w:spacing w:before="7"/>
        <w:ind w:right="107"/>
        <w:jc w:val="right"/>
      </w:pPr>
      <w:bookmarkStart w:name="_bookmark25" w:id="26"/>
      <w:bookmarkEnd w:id="26"/>
      <w:r>
        <w:rPr>
          <w:b w:val="0"/>
        </w:rPr>
      </w:r>
      <w:r>
        <w:rPr/>
        <w:t>Anexo</w:t>
      </w:r>
      <w:r>
        <w:rPr>
          <w:spacing w:val="-4"/>
        </w:rPr>
        <w:t> </w:t>
      </w:r>
      <w:r>
        <w:rPr/>
        <w:t>7. Reprogramações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Ação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Orçamento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CAU</w:t>
      </w:r>
      <w:r>
        <w:rPr>
          <w:spacing w:val="-5"/>
        </w:rPr>
        <w:t> </w:t>
      </w:r>
      <w:r>
        <w:rPr/>
        <w:t>2022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CAU/UF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2"/>
        </w:rPr>
        <w:t>CAU/BR</w:t>
      </w:r>
    </w:p>
    <w:p>
      <w:pPr>
        <w:spacing w:before="0"/>
        <w:ind w:left="0" w:right="105" w:firstLine="0"/>
        <w:jc w:val="right"/>
        <w:rPr>
          <w:b/>
          <w:sz w:val="24"/>
        </w:rPr>
      </w:pPr>
      <w:r>
        <w:rPr>
          <w:b/>
          <w:sz w:val="24"/>
        </w:rPr>
        <w:t>(Links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acesso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Portal</w:t>
      </w:r>
      <w:r>
        <w:rPr>
          <w:b/>
          <w:spacing w:val="-2"/>
          <w:sz w:val="24"/>
        </w:rPr>
        <w:t> Transparência)</w:t>
      </w:r>
    </w:p>
    <w:p>
      <w:pPr>
        <w:pStyle w:val="BodyText"/>
        <w:rPr>
          <w:b/>
        </w:rPr>
      </w:pPr>
    </w:p>
    <w:p>
      <w:pPr>
        <w:spacing w:line="360" w:lineRule="auto" w:before="205"/>
        <w:ind w:left="313" w:right="5010" w:firstLine="51"/>
        <w:jc w:val="left"/>
        <w:rPr>
          <w:i/>
          <w:sz w:val="22"/>
        </w:rPr>
      </w:pPr>
      <w:r>
        <w:rPr>
          <w:sz w:val="22"/>
        </w:rPr>
        <w:t>CAU/BR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40"/>
          <w:sz w:val="22"/>
        </w:rPr>
        <w:t> </w:t>
      </w:r>
      <w:hyperlink r:id="rId41">
        <w:r>
          <w:rPr>
            <w:i/>
            <w:color w:val="0562C1"/>
            <w:sz w:val="22"/>
            <w:u w:val="single" w:color="0562C1"/>
          </w:rPr>
          <w:t>Clique</w:t>
        </w:r>
        <w:r>
          <w:rPr>
            <w:i/>
            <w:color w:val="0562C1"/>
            <w:spacing w:val="-3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aqui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para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acessar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em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CAU/AC -</w:t>
      </w:r>
      <w:r>
        <w:rPr>
          <w:spacing w:val="40"/>
          <w:sz w:val="22"/>
        </w:rPr>
        <w:t> </w:t>
      </w:r>
      <w:hyperlink r:id="rId42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CAU/AM</w:t>
      </w:r>
      <w:r>
        <w:rPr>
          <w:spacing w:val="-1"/>
          <w:sz w:val="22"/>
        </w:rPr>
        <w:t> </w:t>
      </w:r>
      <w:r>
        <w:rPr>
          <w:sz w:val="22"/>
        </w:rPr>
        <w:t>- </w:t>
      </w:r>
      <w:hyperlink r:id="rId43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CAU/AP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80"/>
          <w:sz w:val="22"/>
        </w:rPr>
        <w:t> </w:t>
      </w:r>
      <w:hyperlink r:id="rId44">
        <w:r>
          <w:rPr>
            <w:i/>
            <w:color w:val="0562C1"/>
            <w:sz w:val="22"/>
            <w:u w:val="single" w:color="0562C1"/>
          </w:rPr>
          <w:t>Clique</w:t>
        </w:r>
        <w:r>
          <w:rPr>
            <w:i/>
            <w:color w:val="0562C1"/>
            <w:spacing w:val="-3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aqui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para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acessar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em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CAU/AL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80"/>
          <w:sz w:val="22"/>
        </w:rPr>
        <w:t> </w:t>
      </w:r>
      <w:hyperlink r:id="rId45">
        <w:r>
          <w:rPr>
            <w:i/>
            <w:color w:val="0562C1"/>
            <w:sz w:val="22"/>
            <w:u w:val="single" w:color="0562C1"/>
          </w:rPr>
          <w:t>Clique</w:t>
        </w:r>
        <w:r>
          <w:rPr>
            <w:i/>
            <w:color w:val="0562C1"/>
            <w:spacing w:val="-1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CAU/BA -</w:t>
      </w:r>
      <w:r>
        <w:rPr>
          <w:spacing w:val="40"/>
          <w:sz w:val="22"/>
        </w:rPr>
        <w:t> </w:t>
      </w:r>
      <w:hyperlink r:id="rId46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CAU/CE -</w:t>
      </w:r>
      <w:r>
        <w:rPr>
          <w:spacing w:val="80"/>
          <w:sz w:val="22"/>
        </w:rPr>
        <w:t> </w:t>
      </w:r>
      <w:hyperlink r:id="rId47">
        <w:r>
          <w:rPr>
            <w:i/>
            <w:color w:val="0562C1"/>
            <w:sz w:val="22"/>
            <w:u w:val="single" w:color="0562C1"/>
          </w:rPr>
          <w:t>Clique</w:t>
        </w:r>
        <w:r>
          <w:rPr>
            <w:i/>
            <w:color w:val="0562C1"/>
            <w:spacing w:val="-1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CAU/DF -</w:t>
      </w:r>
      <w:r>
        <w:rPr>
          <w:spacing w:val="40"/>
          <w:sz w:val="22"/>
        </w:rPr>
        <w:t> </w:t>
      </w:r>
      <w:hyperlink r:id="rId48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CAU/ES -</w:t>
      </w:r>
      <w:r>
        <w:rPr>
          <w:spacing w:val="80"/>
          <w:sz w:val="22"/>
        </w:rPr>
        <w:t> </w:t>
      </w:r>
      <w:hyperlink r:id="rId49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CAU/GO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40"/>
          <w:sz w:val="22"/>
        </w:rPr>
        <w:t> </w:t>
      </w:r>
      <w:hyperlink r:id="rId50">
        <w:r>
          <w:rPr>
            <w:i/>
            <w:color w:val="0562C1"/>
            <w:sz w:val="22"/>
            <w:u w:val="single" w:color="0562C1"/>
          </w:rPr>
          <w:t>Clique</w:t>
        </w:r>
        <w:r>
          <w:rPr>
            <w:i/>
            <w:color w:val="0562C1"/>
            <w:spacing w:val="-3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aqui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para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acessar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em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CAU/MA</w:t>
      </w:r>
      <w:r>
        <w:rPr>
          <w:spacing w:val="-10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40"/>
          <w:sz w:val="22"/>
        </w:rPr>
        <w:t> </w:t>
      </w:r>
      <w:hyperlink r:id="rId51">
        <w:r>
          <w:rPr>
            <w:i/>
            <w:color w:val="0562C1"/>
            <w:sz w:val="22"/>
            <w:u w:val="single" w:color="0562C1"/>
          </w:rPr>
          <w:t>Clique</w:t>
        </w:r>
        <w:r>
          <w:rPr>
            <w:i/>
            <w:color w:val="0562C1"/>
            <w:spacing w:val="-6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aqui</w:t>
        </w:r>
        <w:r>
          <w:rPr>
            <w:i/>
            <w:color w:val="0562C1"/>
            <w:spacing w:val="-5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para</w:t>
        </w:r>
        <w:r>
          <w:rPr>
            <w:i/>
            <w:color w:val="0562C1"/>
            <w:spacing w:val="-5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acessar</w:t>
        </w:r>
        <w:r>
          <w:rPr>
            <w:i/>
            <w:color w:val="0562C1"/>
            <w:spacing w:val="-5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em</w:t>
        </w:r>
        <w:r>
          <w:rPr>
            <w:i/>
            <w:color w:val="0562C1"/>
            <w:spacing w:val="-5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CAU/MG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hyperlink r:id="rId52">
        <w:r>
          <w:rPr>
            <w:i/>
            <w:color w:val="0562C1"/>
            <w:sz w:val="22"/>
            <w:u w:val="single" w:color="0562C1"/>
          </w:rPr>
          <w:t>Clique</w:t>
        </w:r>
        <w:r>
          <w:rPr>
            <w:i/>
            <w:color w:val="0562C1"/>
            <w:spacing w:val="-2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aqui</w:t>
        </w:r>
        <w:r>
          <w:rPr>
            <w:i/>
            <w:color w:val="0562C1"/>
            <w:spacing w:val="-1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para</w:t>
        </w:r>
        <w:r>
          <w:rPr>
            <w:i/>
            <w:color w:val="0562C1"/>
            <w:spacing w:val="-1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acessar</w:t>
        </w:r>
        <w:r>
          <w:rPr>
            <w:i/>
            <w:color w:val="0562C1"/>
            <w:spacing w:val="-1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em</w:t>
        </w:r>
        <w:r>
          <w:rPr>
            <w:i/>
            <w:color w:val="0562C1"/>
            <w:spacing w:val="-1"/>
            <w:sz w:val="22"/>
            <w:u w:val="single" w:color="0562C1"/>
          </w:rPr>
          <w:t> </w:t>
        </w:r>
        <w:r>
          <w:rPr>
            <w:i/>
            <w:color w:val="0562C1"/>
            <w:sz w:val="22"/>
            <w:u w:val="single" w:color="0562C1"/>
          </w:rPr>
          <w:t>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CAU/MS - </w:t>
      </w:r>
      <w:hyperlink r:id="rId53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CAU/MT - </w:t>
      </w:r>
      <w:hyperlink r:id="rId54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CAU/PA </w:t>
      </w:r>
      <w:r>
        <w:rPr>
          <w:i/>
          <w:sz w:val="22"/>
        </w:rPr>
        <w:t>-</w:t>
      </w:r>
      <w:r>
        <w:rPr>
          <w:i/>
          <w:spacing w:val="40"/>
          <w:sz w:val="22"/>
        </w:rPr>
        <w:t> </w:t>
      </w:r>
      <w:hyperlink r:id="rId55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CAU/PB -</w:t>
      </w:r>
      <w:r>
        <w:rPr>
          <w:spacing w:val="40"/>
          <w:sz w:val="22"/>
        </w:rPr>
        <w:t> </w:t>
      </w:r>
      <w:hyperlink r:id="rId56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CAU/PE -</w:t>
      </w:r>
      <w:r>
        <w:rPr>
          <w:spacing w:val="40"/>
          <w:sz w:val="22"/>
        </w:rPr>
        <w:t> </w:t>
      </w:r>
      <w:hyperlink r:id="rId57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CAU/PI -</w:t>
      </w:r>
      <w:r>
        <w:rPr>
          <w:spacing w:val="80"/>
          <w:sz w:val="22"/>
        </w:rPr>
        <w:t> </w:t>
      </w:r>
      <w:hyperlink r:id="rId58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CAU/PR -</w:t>
      </w:r>
      <w:r>
        <w:rPr>
          <w:spacing w:val="40"/>
          <w:sz w:val="22"/>
        </w:rPr>
        <w:t> </w:t>
      </w:r>
      <w:hyperlink r:id="rId59">
        <w:r>
          <w:rPr>
            <w:i/>
            <w:color w:val="0061BD"/>
            <w:sz w:val="22"/>
            <w:u w:val="single" w:color="0061BD"/>
          </w:rPr>
          <w:t>Clique aqui para acessar em PDF.</w:t>
        </w:r>
      </w:hyperlink>
      <w:r>
        <w:rPr>
          <w:i/>
          <w:color w:val="0061BD"/>
          <w:sz w:val="22"/>
        </w:rPr>
        <w:t> </w:t>
      </w:r>
      <w:r>
        <w:rPr>
          <w:sz w:val="22"/>
        </w:rPr>
        <w:t>CAU/RJ -</w:t>
      </w:r>
      <w:r>
        <w:rPr>
          <w:spacing w:val="80"/>
          <w:sz w:val="22"/>
        </w:rPr>
        <w:t> </w:t>
      </w:r>
      <w:hyperlink r:id="rId60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CAU/RN - </w:t>
      </w:r>
      <w:hyperlink r:id="rId61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CAU/RO - </w:t>
      </w:r>
      <w:hyperlink r:id="rId62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CAU/RR - </w:t>
      </w:r>
      <w:hyperlink r:id="rId63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CAU/RS - </w:t>
      </w:r>
      <w:hyperlink r:id="rId64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CAU/SC - </w:t>
      </w:r>
      <w:hyperlink r:id="rId65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CAU/SE - </w:t>
      </w:r>
      <w:hyperlink r:id="rId66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CAU/SP - </w:t>
      </w:r>
      <w:hyperlink r:id="rId67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  <w:r>
        <w:rPr>
          <w:i/>
          <w:color w:val="0562C1"/>
          <w:sz w:val="22"/>
        </w:rPr>
        <w:t> </w:t>
      </w:r>
      <w:r>
        <w:rPr>
          <w:sz w:val="22"/>
        </w:rPr>
        <w:t>CAU/TO - </w:t>
      </w:r>
      <w:hyperlink r:id="rId68">
        <w:r>
          <w:rPr>
            <w:i/>
            <w:color w:val="0562C1"/>
            <w:sz w:val="22"/>
            <w:u w:val="single" w:color="0562C1"/>
          </w:rPr>
          <w:t>Clique aqui para acessar em PDF.</w:t>
        </w:r>
      </w:hyperlink>
    </w:p>
    <w:sectPr>
      <w:pgSz w:w="11910" w:h="16840"/>
      <w:pgMar w:header="703" w:footer="261" w:top="1580" w:bottom="460" w:left="13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8.099976pt;margin-top:817.849976pt;width:25.75pt;height:11pt;mso-position-horizontal-relative:page;mso-position-vertical-relative:page;z-index:-16982528" type="#_x0000_t202" id="docshape1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PAGE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10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NUMPAGES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34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.219971pt;margin-top:817.849976pt;width:25.75pt;height:11pt;mso-position-horizontal-relative:page;mso-position-vertical-relative:page;z-index:-16974848" type="#_x0000_t202" id="docshape81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PAGE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33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NUMPAGES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34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.099976pt;margin-top:817.849976pt;width:25.75pt;height:11pt;mso-position-horizontal-relative:page;mso-position-vertical-relative:page;z-index:-16980992" type="#_x0000_t202" id="docshape41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PAGE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17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NUMPAGES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34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3.900024pt;margin-top:571.25pt;width:23.75pt;height:11pt;mso-position-horizontal-relative:page;mso-position-vertical-relative:page;z-index:-16980480" type="#_x0000_t202" id="docshape50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t>18</w:t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t>34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.099976pt;margin-top:817.849976pt;width:25.75pt;height:11pt;mso-position-horizontal-relative:page;mso-position-vertical-relative:page;z-index:-16979456" type="#_x0000_t202" id="docshape75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PAGE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19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NUMPAGES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34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3.900024pt;margin-top:571.25pt;width:23.75pt;height:11pt;mso-position-horizontal-relative:page;mso-position-vertical-relative:page;z-index:-16978944" type="#_x0000_t202" id="docshape76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t>23</w:t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t>34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.099976pt;margin-top:817.849976pt;width:25.75pt;height:11pt;mso-position-horizontal-relative:page;mso-position-vertical-relative:page;z-index:-16977920" type="#_x0000_t202" id="docshape77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PAGE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24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NUMPAGES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34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3.900024pt;margin-top:571.25pt;width:23.75pt;height:11pt;mso-position-horizontal-relative:page;mso-position-vertical-relative:page;z-index:-16977408" type="#_x0000_t202" id="docshape78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t>28</w:t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t>34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.099976pt;margin-top:817.849976pt;width:25.75pt;height:11pt;mso-position-horizontal-relative:page;mso-position-vertical-relative:page;z-index:-16976384" type="#_x0000_t202" id="docshape79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PAGE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29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fldChar w:fldCharType="begin"/>
                </w:r>
                <w:r>
                  <w:rPr>
                    <w:b/>
                    <w:spacing w:val="-2"/>
                    <w:sz w:val="18"/>
                  </w:rPr>
                  <w:instrText> NUMPAGES </w:instrText>
                </w:r>
                <w:r>
                  <w:rPr>
                    <w:b/>
                    <w:spacing w:val="-2"/>
                    <w:sz w:val="18"/>
                  </w:rPr>
                  <w:fldChar w:fldCharType="separate"/>
                </w:r>
                <w:r>
                  <w:rPr>
                    <w:b/>
                    <w:spacing w:val="-2"/>
                    <w:sz w:val="18"/>
                  </w:rPr>
                  <w:t>34</w:t>
                </w:r>
                <w:r>
                  <w:rPr>
                    <w:b/>
                    <w:spacing w:val="-2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3.900024pt;margin-top:571.25pt;width:23.75pt;height:11pt;mso-position-horizontal-relative:page;mso-position-vertical-relative:page;z-index:-16975872" type="#_x0000_t202" id="docshape80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pacing w:val="-2"/>
                    <w:sz w:val="18"/>
                  </w:rPr>
                  <w:t>32</w:t>
                </w:r>
                <w:r>
                  <w:rPr>
                    <w:spacing w:val="-2"/>
                    <w:sz w:val="18"/>
                  </w:rPr>
                  <w:t>/</w:t>
                </w:r>
                <w:r>
                  <w:rPr>
                    <w:b/>
                    <w:spacing w:val="-2"/>
                    <w:sz w:val="18"/>
                  </w:rPr>
                  <w:t>34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3440">
          <wp:simplePos x="0" y="0"/>
          <wp:positionH relativeFrom="page">
            <wp:posOffset>15875</wp:posOffset>
          </wp:positionH>
          <wp:positionV relativeFrom="page">
            <wp:posOffset>437717</wp:posOffset>
          </wp:positionV>
          <wp:extent cx="7544689" cy="566852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4689" cy="5668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1120">
          <wp:simplePos x="0" y="0"/>
          <wp:positionH relativeFrom="page">
            <wp:posOffset>0</wp:posOffset>
          </wp:positionH>
          <wp:positionV relativeFrom="page">
            <wp:posOffset>446675</wp:posOffset>
          </wp:positionV>
          <wp:extent cx="7560564" cy="562339"/>
          <wp:effectExtent l="0" t="0" r="0" b="0"/>
          <wp:wrapNone/>
          <wp:docPr id="43" name="image2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5623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4464">
          <wp:simplePos x="0" y="0"/>
          <wp:positionH relativeFrom="page">
            <wp:posOffset>12064</wp:posOffset>
          </wp:positionH>
          <wp:positionV relativeFrom="page">
            <wp:posOffset>437458</wp:posOffset>
          </wp:positionV>
          <wp:extent cx="7540624" cy="566476"/>
          <wp:effectExtent l="0" t="0" r="0" b="0"/>
          <wp:wrapNone/>
          <wp:docPr id="13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0624" cy="566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2.369995pt;margin-top:80.97998pt;width:331.55pt;height:25.25pt;mso-position-horizontal-relative:page;mso-position-vertical-relative:page;z-index:-16981504" type="#_x0000_t202" id="docshape40" filled="false" stroked="false">
          <v:textbox inset="0,0,0,0">
            <w:txbxContent>
              <w:p>
                <w:pPr>
                  <w:spacing w:line="245" w:lineRule="exact" w:before="0"/>
                  <w:ind w:left="0" w:right="18" w:firstLine="0"/>
                  <w:jc w:val="righ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Quadro</w:t>
                </w:r>
                <w:r>
                  <w:rPr>
                    <w:b/>
                    <w:spacing w:val="-7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5.</w:t>
                </w:r>
                <w:r>
                  <w:rPr>
                    <w:b/>
                    <w:spacing w:val="-4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Aplicações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por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Elementos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de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Despesas</w:t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dos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CAU/UF</w:t>
                </w:r>
                <w:r>
                  <w:rPr>
                    <w:b/>
                    <w:spacing w:val="-4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e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pacing w:val="-2"/>
                    <w:sz w:val="22"/>
                  </w:rPr>
                  <w:t>CAU/BR</w:t>
                </w:r>
              </w:p>
              <w:p>
                <w:pPr>
                  <w:spacing w:before="0"/>
                  <w:ind w:left="0" w:right="20" w:firstLine="0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(Valores</w:t>
                </w:r>
                <w:r>
                  <w:rPr>
                    <w:spacing w:val="-7"/>
                    <w:sz w:val="20"/>
                  </w:rPr>
                  <w:t> </w:t>
                </w:r>
                <w:r>
                  <w:rPr>
                    <w:sz w:val="20"/>
                  </w:rPr>
                  <w:t>em</w:t>
                </w:r>
                <w:r>
                  <w:rPr>
                    <w:spacing w:val="-6"/>
                    <w:sz w:val="20"/>
                  </w:rPr>
                  <w:t> </w:t>
                </w:r>
                <w:r>
                  <w:rPr>
                    <w:sz w:val="20"/>
                  </w:rPr>
                  <w:t>R$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pacing w:val="-4"/>
                    <w:sz w:val="20"/>
                  </w:rPr>
                  <w:t>1,00)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6512">
          <wp:simplePos x="0" y="0"/>
          <wp:positionH relativeFrom="page">
            <wp:posOffset>11429</wp:posOffset>
          </wp:positionH>
          <wp:positionV relativeFrom="page">
            <wp:posOffset>436940</wp:posOffset>
          </wp:positionV>
          <wp:extent cx="7540624" cy="565724"/>
          <wp:effectExtent l="0" t="0" r="0" b="0"/>
          <wp:wrapNone/>
          <wp:docPr id="17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0624" cy="565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8048">
          <wp:simplePos x="0" y="0"/>
          <wp:positionH relativeFrom="page">
            <wp:posOffset>0</wp:posOffset>
          </wp:positionH>
          <wp:positionV relativeFrom="page">
            <wp:posOffset>435905</wp:posOffset>
          </wp:positionV>
          <wp:extent cx="7560563" cy="564219"/>
          <wp:effectExtent l="0" t="0" r="0" b="0"/>
          <wp:wrapNone/>
          <wp:docPr id="25" name="image1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5642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9584">
          <wp:simplePos x="0" y="0"/>
          <wp:positionH relativeFrom="page">
            <wp:posOffset>12064</wp:posOffset>
          </wp:positionH>
          <wp:positionV relativeFrom="page">
            <wp:posOffset>447452</wp:posOffset>
          </wp:positionV>
          <wp:extent cx="7548499" cy="563467"/>
          <wp:effectExtent l="0" t="0" r="0" b="0"/>
          <wp:wrapNone/>
          <wp:docPr id="3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8499" cy="563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12" w:hanging="13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50" w:hanging="13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81" w:hanging="13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11" w:hanging="13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42" w:hanging="13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73" w:hanging="13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03" w:hanging="13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34" w:hanging="13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65" w:hanging="13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78" w:hanging="17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2"/>
        <w:sz w:val="17"/>
        <w:szCs w:val="17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03" w:hanging="30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102"/>
        <w:sz w:val="17"/>
        <w:szCs w:val="17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0" w:hanging="3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41" w:hanging="3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11" w:hanging="3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982" w:hanging="3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152" w:hanging="3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323" w:hanging="3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494" w:hanging="30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8" w:hanging="17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2"/>
        <w:sz w:val="17"/>
        <w:szCs w:val="17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04" w:hanging="30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102"/>
        <w:sz w:val="17"/>
        <w:szCs w:val="17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0" w:hanging="30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41" w:hanging="30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11" w:hanging="30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982" w:hanging="30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152" w:hanging="30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323" w:hanging="30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494" w:hanging="30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70" w:hanging="19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74" w:hanging="1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69" w:hanging="1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63" w:hanging="1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8" w:hanging="1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3" w:hanging="1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47" w:hanging="1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42" w:hanging="1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37" w:hanging="19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89" w:hanging="219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602041"/>
        <w:spacing w:val="-2"/>
        <w:w w:val="100"/>
        <w:sz w:val="26"/>
        <w:szCs w:val="26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449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02041"/>
        <w:spacing w:val="-1"/>
        <w:w w:val="100"/>
        <w:sz w:val="28"/>
        <w:szCs w:val="2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65" w:hanging="4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10" w:hanging="4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55" w:hanging="4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00" w:hanging="4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45" w:hanging="4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90" w:hanging="4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36" w:hanging="449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1" w:hanging="173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02041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0" w:hanging="286"/>
        <w:jc w:val="right"/>
      </w:pPr>
      <w:rPr>
        <w:rFonts w:hint="default"/>
        <w:spacing w:val="-1"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74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8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6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56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50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38" w:hanging="286"/>
      </w:pPr>
      <w:rPr>
        <w:rFonts w:hint="default"/>
        <w:lang w:val="pt-PT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93"/>
      <w:ind w:left="339" w:hanging="222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93"/>
      <w:ind w:left="118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34"/>
      <w:ind w:left="140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99"/>
      <w:ind w:left="546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296"/>
      <w:ind w:left="970" w:hanging="286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TOC6" w:type="paragraph">
    <w:name w:val="TOC 6"/>
    <w:basedOn w:val="Normal"/>
    <w:uiPriority w:val="1"/>
    <w:qFormat/>
    <w:pPr>
      <w:spacing w:before="21"/>
      <w:ind w:left="2495" w:right="2680"/>
      <w:jc w:val="center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3"/>
      <w:ind w:left="858" w:right="291"/>
      <w:jc w:val="center"/>
      <w:outlineLvl w:val="1"/>
    </w:pPr>
    <w:rPr>
      <w:rFonts w:ascii="Calibri" w:hAnsi="Calibri" w:eastAsia="Calibri" w:cs="Calibri"/>
      <w:b/>
      <w:bCs/>
      <w:sz w:val="48"/>
      <w:szCs w:val="4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321"/>
      <w:ind w:left="103" w:right="292"/>
      <w:jc w:val="center"/>
      <w:outlineLvl w:val="2"/>
    </w:pPr>
    <w:rPr>
      <w:rFonts w:ascii="Calibri" w:hAnsi="Calibri" w:eastAsia="Calibri" w:cs="Calibri"/>
      <w:b/>
      <w:bCs/>
      <w:sz w:val="48"/>
      <w:szCs w:val="48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4"/>
      <w:ind w:left="397" w:hanging="280"/>
      <w:outlineLvl w:val="3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293"/>
      <w:ind w:left="339" w:hanging="280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2"/>
      <w:jc w:val="right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8.jpeg"/><Relationship Id="rId17" Type="http://schemas.openxmlformats.org/officeDocument/2006/relationships/header" Target="header4.xml"/><Relationship Id="rId18" Type="http://schemas.openxmlformats.org/officeDocument/2006/relationships/footer" Target="footer4.xml"/><Relationship Id="rId19" Type="http://schemas.openxmlformats.org/officeDocument/2006/relationships/image" Target="media/image9.jpeg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header" Target="header6.xml"/><Relationship Id="rId25" Type="http://schemas.openxmlformats.org/officeDocument/2006/relationships/footer" Target="footer6.xm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header" Target="header7.xml"/><Relationship Id="rId29" Type="http://schemas.openxmlformats.org/officeDocument/2006/relationships/footer" Target="footer7.xml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header" Target="header8.xml"/><Relationship Id="rId33" Type="http://schemas.openxmlformats.org/officeDocument/2006/relationships/footer" Target="footer8.xml"/><Relationship Id="rId34" Type="http://schemas.openxmlformats.org/officeDocument/2006/relationships/image" Target="media/image17.jpeg"/><Relationship Id="rId35" Type="http://schemas.openxmlformats.org/officeDocument/2006/relationships/header" Target="header9.xml"/><Relationship Id="rId36" Type="http://schemas.openxmlformats.org/officeDocument/2006/relationships/footer" Target="footer9.xml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header" Target="header10.xml"/><Relationship Id="rId40" Type="http://schemas.openxmlformats.org/officeDocument/2006/relationships/footer" Target="footer10.xml"/><Relationship Id="rId41" Type="http://schemas.openxmlformats.org/officeDocument/2006/relationships/hyperlink" Target="https://transparencia.caubr.gov.br/arquivos/PARECER-DE-ANALISE-DO-PLANO-DE-ACAO-E-ORCAMENTO-CAU-BR.pdf" TargetMode="External"/><Relationship Id="rId42" Type="http://schemas.openxmlformats.org/officeDocument/2006/relationships/hyperlink" Target="https://transparencia.caubr.gov.br/arquivos/PARECER-DE-ANALISE-DO-PLANO-DE-ACAO-E-ORCAMENTO-CAU-AC.pdf" TargetMode="External"/><Relationship Id="rId43" Type="http://schemas.openxmlformats.org/officeDocument/2006/relationships/hyperlink" Target="https://transparencia.caubr.gov.br/arquivos/PARECER-DE-ANALISE-DO-PLANO-DE-ACAO-E-ORCAMENTO-CAU-AM.pdf" TargetMode="External"/><Relationship Id="rId44" Type="http://schemas.openxmlformats.org/officeDocument/2006/relationships/hyperlink" Target="https://transparencia.caubr.gov.br/arquivos/PARECER-DE-ANALISE-DO-PLANO-DE-ACAO-E-ORCAMENTO-CAU-AP.pdf" TargetMode="External"/><Relationship Id="rId45" Type="http://schemas.openxmlformats.org/officeDocument/2006/relationships/hyperlink" Target="https://transparencia.caubr.gov.br/arquivos/PARECER-DE-ANALISE-DO-PLANO-DE-ACAO-E-ORCAMENTO-CAU-AL.pdf" TargetMode="External"/><Relationship Id="rId46" Type="http://schemas.openxmlformats.org/officeDocument/2006/relationships/hyperlink" Target="https://transparencia.caubr.gov.br/arquivos/PARECER-DE-ANALISE-DO-PLANO-DE-ACAO-E-ORCAMENTO-CAU-BA.pdf" TargetMode="External"/><Relationship Id="rId47" Type="http://schemas.openxmlformats.org/officeDocument/2006/relationships/hyperlink" Target="https://transparencia.caubr.gov.br/arquivos/PARECER-DE-ANALISE-DO-PLANO-DE-ACAO-E-ORCAMENTO-CAU-CE.pdf" TargetMode="External"/><Relationship Id="rId48" Type="http://schemas.openxmlformats.org/officeDocument/2006/relationships/hyperlink" Target="https://transparencia.caubr.gov.br/arquivos/PARECER-DE-ANALISE-DO-PLANO-DE-ACAO-E-ORCAMENTO-CAU-DF.pdf" TargetMode="External"/><Relationship Id="rId49" Type="http://schemas.openxmlformats.org/officeDocument/2006/relationships/hyperlink" Target="https://transparencia.caubr.gov.br/arquivos/PARECER-DE-ANALISE-DO-PLANO-DE-ACAO-E-ORCAMENTO-CAU-ES.pdf" TargetMode="External"/><Relationship Id="rId50" Type="http://schemas.openxmlformats.org/officeDocument/2006/relationships/hyperlink" Target="https://transparencia.caubr.gov.br/arquivos/PARECER-DE-ANALISE-DO-PLANO-DE-ACAO-E-ORCAMENTO-CAU-GO.pdf" TargetMode="External"/><Relationship Id="rId51" Type="http://schemas.openxmlformats.org/officeDocument/2006/relationships/hyperlink" Target="https://transparencia.caubr.gov.br/arquivos/PARECER-DE-ANALISE-DO-PLANO-DE-ACAO-E-ORCAMENTO-CAU-MA.pdf" TargetMode="External"/><Relationship Id="rId52" Type="http://schemas.openxmlformats.org/officeDocument/2006/relationships/hyperlink" Target="https://transparencia.caubr.gov.br/arquivos/PARECER-DE-ANALISE-DO-PLANO-DE-ACAO-E-ORCAMENTO-CAU-MG.pdf" TargetMode="External"/><Relationship Id="rId53" Type="http://schemas.openxmlformats.org/officeDocument/2006/relationships/hyperlink" Target="https://transparencia.caubr.gov.br/arquivos/PARECER-DE-ANALISE-DO-PLANO-DE-ACAO-E-ORCAMENTO-CAU-MS.pdf" TargetMode="External"/><Relationship Id="rId54" Type="http://schemas.openxmlformats.org/officeDocument/2006/relationships/hyperlink" Target="https://transparencia.caubr.gov.br/arquivos/PARECER-DE-ANALISE-DO-PLANO-DE-ACAO-E-ORCAMENTO-CAU-MT.pdf" TargetMode="External"/><Relationship Id="rId55" Type="http://schemas.openxmlformats.org/officeDocument/2006/relationships/hyperlink" Target="https://transparencia.caubr.gov.br/arquivos/PARECER-DE-ANALISE-DO-PLANO-DE-ACAO-E-ORCAMENTO-CAU-PA.pdf" TargetMode="External"/><Relationship Id="rId56" Type="http://schemas.openxmlformats.org/officeDocument/2006/relationships/hyperlink" Target="https://transparencia.caubr.gov.br/arquivos/PARECER-DE-ANALISE-DO-PLANO-DE-ACAO-E-ORCAMENTO-CAU-PB.pdf" TargetMode="External"/><Relationship Id="rId57" Type="http://schemas.openxmlformats.org/officeDocument/2006/relationships/hyperlink" Target="https://transparencia.caubr.gov.br/arquivos/PARECER-DE-ANALISE-DO-PLANO-DE-ACAO-E-ORCAMENTO-CAU-PE.pdf" TargetMode="External"/><Relationship Id="rId58" Type="http://schemas.openxmlformats.org/officeDocument/2006/relationships/hyperlink" Target="https://transparencia.caubr.gov.br/arquivos/PARECER-DE-ANALISE-DO-PLANO-DE-ACAO-E-ORCAMENTO-CAU-PI-1.pdf" TargetMode="External"/><Relationship Id="rId59" Type="http://schemas.openxmlformats.org/officeDocument/2006/relationships/hyperlink" Target="https://transparencia.caubr.gov.br/arquivos/PARECER-DE-ANALISE-DO-PLANO-DE-ACAO-E-ORCAMENTO-CAU-PR.pdf" TargetMode="External"/><Relationship Id="rId60" Type="http://schemas.openxmlformats.org/officeDocument/2006/relationships/hyperlink" Target="https://transparencia.caubr.gov.br/arquivos/PARECER-DE-ANALISE-DO-PLANO-DE-ACAO-E-ORCAMENTO-CAU-RJ.pdf" TargetMode="External"/><Relationship Id="rId61" Type="http://schemas.openxmlformats.org/officeDocument/2006/relationships/hyperlink" Target="https://transparencia.caubr.gov.br/arquivos/PARECER-DE-ANALISE-DO-PLANO-DE-ACAO-E-ORCAMENTO-CAU-RN.pdf" TargetMode="External"/><Relationship Id="rId62" Type="http://schemas.openxmlformats.org/officeDocument/2006/relationships/hyperlink" Target="https://transparencia.caubr.gov.br/arquivos/PARECER-DE-ANALISE-DO-PLANO-DE-ACAO-E-ORCAMENTO-CAU-RO.pdf" TargetMode="External"/><Relationship Id="rId63" Type="http://schemas.openxmlformats.org/officeDocument/2006/relationships/hyperlink" Target="https://transparencia.caubr.gov.br/arquivos/PARECER-DE-ANALISE-DO-PLANO-DE-ACAO-E-ORCAMENTO-CAU-RR.pdf" TargetMode="External"/><Relationship Id="rId64" Type="http://schemas.openxmlformats.org/officeDocument/2006/relationships/hyperlink" Target="https://transparencia.caubr.gov.br/arquivos/PARECER-DE-ANALISE-DO-PLANO-DE-ACAO-E-ORCAMENTO-CAU-RS.pdf" TargetMode="External"/><Relationship Id="rId65" Type="http://schemas.openxmlformats.org/officeDocument/2006/relationships/hyperlink" Target="https://transparencia.caubr.gov.br/arquivos/PARECER-DE-ANALISE-DO-PLANO-DE-ACAO-E-ORCAMENTO-CAU-SC.pdf" TargetMode="External"/><Relationship Id="rId66" Type="http://schemas.openxmlformats.org/officeDocument/2006/relationships/hyperlink" Target="https://transparencia.caubr.gov.br/arquivos/PARECER-DE-ANALISE-DO-PLANO-DE-ACAO-E-ORCAMENTO-CAU-SE.pdf" TargetMode="External"/><Relationship Id="rId67" Type="http://schemas.openxmlformats.org/officeDocument/2006/relationships/hyperlink" Target="https://transparencia.caubr.gov.br/arquivos/PARECER-DE-ANALISE-DO-PLANO-DE-ACAO-E-ORCAMENTO-CAU-SP.pdf" TargetMode="External"/><Relationship Id="rId68" Type="http://schemas.openxmlformats.org/officeDocument/2006/relationships/hyperlink" Target="https://transparencia.caubr.gov.br/arquivos/PARECER-DE-ANALISE-DO-PLANO-DE-ACAO-E-ORCAMENTO-CAU-TO.pdf" TargetMode="External"/><Relationship Id="rId6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0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2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Cristino de Oliveira</dc:creator>
  <cp:keywords>Reprogramação 2019</cp:keywords>
  <dc:subject>Reprogramação Orçamentária</dc:subject>
  <dcterms:created xsi:type="dcterms:W3CDTF">2023-01-13T19:00:18Z</dcterms:created>
  <dcterms:modified xsi:type="dcterms:W3CDTF">2023-01-13T19:00:18Z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2023-01-13T00:00:00Z</vt:filetime>
  </property>
  <property fmtid="{D5CDD505-2E9C-101B-9397-08002B2CF9AE}" pid="5" name="Producer">
    <vt:lpwstr>Microsoft® Word 2019</vt:lpwstr>
  </property>
</Properties>
</file>