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6E9490AD" w:rsidR="00DA6E99" w:rsidRPr="00D35C2F" w:rsidRDefault="001F074F" w:rsidP="001F07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353CFBA3" w:rsidR="00784E39" w:rsidRPr="000B30BD" w:rsidRDefault="00784E3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14A034A0" w:rsidR="00784E39" w:rsidRPr="00D35C2F" w:rsidRDefault="001F074F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6D760C9F" w:rsidR="00784E39" w:rsidRPr="00B519A7" w:rsidRDefault="000B30BD" w:rsidP="000B30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B519A7">
              <w:rPr>
                <w:rFonts w:ascii="Times New Roman" w:hAnsi="Times New Roman"/>
                <w:b w:val="0"/>
              </w:rPr>
              <w:t xml:space="preserve">Análise dos dados quantitativos de </w:t>
            </w:r>
            <w:proofErr w:type="spellStart"/>
            <w:r w:rsidRPr="00B519A7">
              <w:rPr>
                <w:rFonts w:ascii="Times New Roman" w:hAnsi="Times New Roman"/>
                <w:b w:val="0"/>
              </w:rPr>
              <w:t>RRTs</w:t>
            </w:r>
            <w:proofErr w:type="spellEnd"/>
            <w:r w:rsidRPr="00B519A7">
              <w:rPr>
                <w:rFonts w:ascii="Times New Roman" w:hAnsi="Times New Roman"/>
                <w:b w:val="0"/>
              </w:rPr>
              <w:t xml:space="preserve"> contendo atividade de desempenho de cargo ou função e </w:t>
            </w:r>
            <w:r w:rsidR="00124B00">
              <w:rPr>
                <w:rFonts w:ascii="Times New Roman" w:hAnsi="Times New Roman"/>
                <w:b w:val="0"/>
              </w:rPr>
              <w:t xml:space="preserve">aqueles com </w:t>
            </w:r>
            <w:r w:rsidRPr="00B519A7">
              <w:rPr>
                <w:rFonts w:ascii="Times New Roman" w:hAnsi="Times New Roman"/>
                <w:b w:val="0"/>
              </w:rPr>
              <w:t>forma de participação “de equipe” (ref. às demandas dos protocol</w:t>
            </w:r>
            <w:r w:rsidR="00B519A7" w:rsidRPr="00B519A7">
              <w:rPr>
                <w:rFonts w:ascii="Times New Roman" w:hAnsi="Times New Roman"/>
                <w:b w:val="0"/>
              </w:rPr>
              <w:t>os SICCAU nº 1272202 e 1372228)</w:t>
            </w:r>
          </w:p>
        </w:tc>
      </w:tr>
    </w:tbl>
    <w:p w14:paraId="6663B943" w14:textId="12EC8BF9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B519A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049</w:t>
      </w: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22B192" w14:textId="546C5760" w:rsidR="00784E39" w:rsidRPr="00C15C1C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E36747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6D60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Brasília-DF, na sede do CAU/BR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CD3537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6032D1F" w14:textId="77777777" w:rsidR="00784E39" w:rsidRPr="00C15C1C" w:rsidRDefault="00784E39" w:rsidP="00E36747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5479248" w14:textId="024E4BC4" w:rsidR="008F4E76" w:rsidRPr="008F4E76" w:rsidRDefault="00784E39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1F074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</w:t>
      </w:r>
      <w:r w:rsidR="000B30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demanda encaminhada pela Presidência do CAU/BR à CEP-CAU/BR por meio do protocolo </w:t>
      </w:r>
      <w:proofErr w:type="spellStart"/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>Siccau</w:t>
      </w:r>
      <w:proofErr w:type="spellEnd"/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1372228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>/2021</w:t>
      </w:r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no qual o CAU-RN encaminha proposta de regulamentação do RRT constituído da atividade de Desempenho de Cargo ou Função, em função </w:t>
      </w:r>
      <w:r w:rsidR="00C274F8">
        <w:rPr>
          <w:rFonts w:ascii="Times New Roman" w:eastAsia="Times New Roman" w:hAnsi="Times New Roman" w:cs="Times New Roman"/>
          <w:b w:val="0"/>
          <w:color w:val="auto"/>
          <w:lang w:eastAsia="pt-BR"/>
        </w:rPr>
        <w:t>d</w:t>
      </w:r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>e diversas ações judiciais a que o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CAU está sujeito e respondendo</w:t>
      </w:r>
      <w:r w:rsidR="00C274F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devido 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 decisão e conclusão do </w:t>
      </w:r>
      <w:r w:rsidR="00C274F8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Parecer </w:t>
      </w:r>
      <w:r w:rsidR="00C274F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C274F8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>07/2015 da AGU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– Advocacia Geral da União</w:t>
      </w:r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15C3B365" w14:textId="77777777" w:rsidR="008F4E76" w:rsidRDefault="008F4E76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3779FEA" w14:textId="7836AD49" w:rsidR="00EF3E61" w:rsidRPr="00EF3E61" w:rsidRDefault="000B30BD" w:rsidP="00EF3E6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demanda encaminhada pela Presidência do CAU/BR à CEP-CAU/BR por meio do protocolo </w:t>
      </w:r>
      <w:proofErr w:type="spellStart"/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>Siccau</w:t>
      </w:r>
      <w:proofErr w:type="spellEnd"/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1272202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>/2021</w:t>
      </w:r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no qual o conselheiro federal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Matozalém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F4E76" w:rsidRP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(TO) encaminha proposta 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</w:t>
      </w:r>
      <w:r w:rsidR="00EF3E61" w:rsidRP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cobrança de apenas 1 (um) taxa </w:t>
      </w:r>
      <w:r w:rsid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RRT </w:t>
      </w:r>
      <w:r w:rsidR="00EF3E61" w:rsidRP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todos os </w:t>
      </w:r>
      <w:proofErr w:type="spellStart"/>
      <w:r w:rsidR="00EF3E61" w:rsidRP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>RRTs</w:t>
      </w:r>
      <w:proofErr w:type="spellEnd"/>
      <w:r w:rsidR="00EF3E61" w:rsidRPr="00EF3E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vinculados ao RRT principal registrado na forma de participação “De Equipe”.</w:t>
      </w:r>
    </w:p>
    <w:p w14:paraId="0FC5D800" w14:textId="3BB1EA55" w:rsidR="008F4E76" w:rsidRPr="008F4E76" w:rsidRDefault="008F4E76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E838AF0" w14:textId="693931DF" w:rsidR="00D92589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Resolução CAU/BR nº </w:t>
      </w:r>
      <w:r w:rsidR="00E36747">
        <w:rPr>
          <w:rFonts w:ascii="Times New Roman" w:eastAsia="Times New Roman" w:hAnsi="Times New Roman" w:cs="Times New Roman"/>
          <w:b w:val="0"/>
          <w:color w:val="auto"/>
          <w:lang w:eastAsia="pt-BR"/>
        </w:rPr>
        <w:t>91,</w:t>
      </w:r>
      <w:r w:rsidR="00D9258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09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D92589">
        <w:rPr>
          <w:rFonts w:ascii="Times New Roman" w:eastAsia="Times New Roman" w:hAnsi="Times New Roman" w:cs="Times New Roman"/>
          <w:b w:val="0"/>
          <w:color w:val="auto"/>
          <w:lang w:eastAsia="pt-BR"/>
        </w:rPr>
        <w:t>outubro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="00E3674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2014</w:t>
      </w:r>
      <w:r w:rsidR="000B30BD">
        <w:rPr>
          <w:rFonts w:ascii="Times New Roman" w:eastAsia="Times New Roman" w:hAnsi="Times New Roman" w:cs="Times New Roman"/>
          <w:b w:val="0"/>
          <w:color w:val="auto"/>
          <w:lang w:eastAsia="pt-BR"/>
        </w:rPr>
        <w:t>, que dispõe</w:t>
      </w:r>
      <w:r w:rsidR="00D9258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sobre o Registro de Responsabilidade Técnica (RRT) referente a projetos, obras e demais serviços técnicos no âmbito da Arquitetura e Urbanismo;</w:t>
      </w:r>
      <w:r w:rsidR="008F4E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</w:p>
    <w:p w14:paraId="19F36E97" w14:textId="77777777" w:rsidR="008F4E76" w:rsidRDefault="008F4E7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AE66814" w14:textId="52965E93" w:rsidR="008F4E76" w:rsidRDefault="008F4E7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levantamento de dados quantitativos sobre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RRTs</w:t>
      </w:r>
      <w:proofErr w:type="spellEnd"/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atividade de Des</w:t>
      </w:r>
      <w:r w:rsidR="00124B00">
        <w:rPr>
          <w:rFonts w:ascii="Times New Roman" w:eastAsia="Times New Roman" w:hAnsi="Times New Roman" w:cs="Times New Roman"/>
          <w:b w:val="0"/>
          <w:color w:val="auto"/>
          <w:lang w:eastAsia="pt-BR"/>
        </w:rPr>
        <w:t>empenho de Cargo ou F</w:t>
      </w:r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unção e </w:t>
      </w:r>
      <w:r w:rsidR="00124B00">
        <w:rPr>
          <w:rFonts w:ascii="Times New Roman" w:eastAsia="Times New Roman" w:hAnsi="Times New Roman" w:cs="Times New Roman"/>
          <w:b w:val="0"/>
          <w:color w:val="auto"/>
          <w:lang w:eastAsia="pt-BR"/>
        </w:rPr>
        <w:t>dos</w:t>
      </w:r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proofErr w:type="spellStart"/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>RRTs</w:t>
      </w:r>
      <w:proofErr w:type="spellEnd"/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124B00">
        <w:rPr>
          <w:rFonts w:ascii="Times New Roman" w:eastAsia="Times New Roman" w:hAnsi="Times New Roman" w:cs="Times New Roman"/>
          <w:b w:val="0"/>
          <w:color w:val="auto"/>
          <w:lang w:eastAsia="pt-BR"/>
        </w:rPr>
        <w:t>com forma de participação de e</w:t>
      </w:r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>quipe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>fornecido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pela equipe técnica do IGEO, a pedido da </w:t>
      </w:r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assessoria técnica da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CEP-CAU/BR</w:t>
      </w:r>
      <w:r w:rsidR="00E67675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14:paraId="0743A105" w14:textId="77777777" w:rsidR="000B30BD" w:rsidRDefault="000B30BD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AC0403" w14:textId="432149B9" w:rsidR="002B46B7" w:rsidRPr="000B30BD" w:rsidRDefault="00784E39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57ABBA51" w14:textId="7BDA0E34" w:rsidR="002B46B7" w:rsidRPr="00BE5AB9" w:rsidRDefault="002B46B7" w:rsidP="002B46B7">
      <w:pPr>
        <w:pStyle w:val="PargrafodaLista"/>
        <w:ind w:left="710"/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14:paraId="2506262F" w14:textId="318048EE" w:rsidR="00B43395" w:rsidRPr="00B43395" w:rsidRDefault="008F4E76" w:rsidP="005F1BA0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Encaminhar o levantamento </w:t>
      </w:r>
      <w:r w:rsidR="00E67675">
        <w:rPr>
          <w:rFonts w:ascii="Times New Roman" w:hAnsi="Times New Roman"/>
          <w:b w:val="0"/>
          <w:bCs/>
          <w:lang w:eastAsia="pt-BR"/>
        </w:rPr>
        <w:t xml:space="preserve">quantitativo </w:t>
      </w:r>
      <w:r w:rsidR="00124B00">
        <w:rPr>
          <w:rFonts w:ascii="Times New Roman" w:hAnsi="Times New Roman"/>
          <w:b w:val="0"/>
          <w:bCs/>
          <w:lang w:eastAsia="pt-BR"/>
        </w:rPr>
        <w:t xml:space="preserve">de </w:t>
      </w:r>
      <w:proofErr w:type="spellStart"/>
      <w:r w:rsidR="00124B00">
        <w:rPr>
          <w:rFonts w:ascii="Times New Roman" w:hAnsi="Times New Roman"/>
          <w:b w:val="0"/>
          <w:bCs/>
          <w:lang w:eastAsia="pt-BR"/>
        </w:rPr>
        <w:t>RRTs</w:t>
      </w:r>
      <w:proofErr w:type="spellEnd"/>
      <w:r w:rsidR="00124B00">
        <w:rPr>
          <w:rFonts w:ascii="Times New Roman" w:hAnsi="Times New Roman"/>
          <w:b w:val="0"/>
          <w:bCs/>
          <w:lang w:eastAsia="pt-BR"/>
        </w:rPr>
        <w:t xml:space="preserve">, fornecido pela equipe do IGEO a pedido da CEP-CAU/BR, </w:t>
      </w:r>
      <w:r>
        <w:rPr>
          <w:rFonts w:ascii="Times New Roman" w:hAnsi="Times New Roman"/>
          <w:b w:val="0"/>
          <w:bCs/>
          <w:lang w:eastAsia="pt-BR"/>
        </w:rPr>
        <w:t>à</w:t>
      </w:r>
      <w:r w:rsidR="000B30BD" w:rsidRPr="00B43395">
        <w:rPr>
          <w:rFonts w:ascii="Times New Roman" w:hAnsi="Times New Roman"/>
          <w:b w:val="0"/>
          <w:bCs/>
          <w:lang w:eastAsia="pt-BR"/>
        </w:rPr>
        <w:t xml:space="preserve"> Gerência de Planejamento </w:t>
      </w:r>
      <w:r>
        <w:rPr>
          <w:rFonts w:ascii="Times New Roman" w:hAnsi="Times New Roman"/>
          <w:b w:val="0"/>
          <w:bCs/>
          <w:lang w:eastAsia="pt-BR"/>
        </w:rPr>
        <w:t xml:space="preserve">do CAU/BR para realização de </w:t>
      </w:r>
      <w:r w:rsidR="00E67675">
        <w:rPr>
          <w:rFonts w:ascii="Times New Roman" w:hAnsi="Times New Roman"/>
          <w:b w:val="0"/>
          <w:bCs/>
          <w:lang w:eastAsia="pt-BR"/>
        </w:rPr>
        <w:t>estudos dos</w:t>
      </w:r>
      <w:r w:rsidR="000B30BD" w:rsidRPr="00B43395">
        <w:rPr>
          <w:rFonts w:ascii="Times New Roman" w:hAnsi="Times New Roman"/>
          <w:b w:val="0"/>
          <w:bCs/>
          <w:lang w:eastAsia="pt-BR"/>
        </w:rPr>
        <w:t xml:space="preserve"> </w:t>
      </w:r>
      <w:r w:rsidR="00E67675">
        <w:rPr>
          <w:rFonts w:ascii="Times New Roman" w:hAnsi="Times New Roman"/>
          <w:b w:val="0"/>
          <w:bCs/>
          <w:lang w:eastAsia="pt-BR"/>
        </w:rPr>
        <w:t xml:space="preserve">impactos financeiros nos orçamentos e planos de ações dos CAU/UF e do CAU/BR, a fim de </w:t>
      </w:r>
      <w:r>
        <w:rPr>
          <w:rFonts w:ascii="Times New Roman" w:hAnsi="Times New Roman"/>
          <w:b w:val="0"/>
          <w:bCs/>
          <w:lang w:eastAsia="pt-BR"/>
        </w:rPr>
        <w:t>subsidiar a C</w:t>
      </w:r>
      <w:r w:rsidR="00124B00">
        <w:rPr>
          <w:rFonts w:ascii="Times New Roman" w:hAnsi="Times New Roman"/>
          <w:b w:val="0"/>
          <w:bCs/>
          <w:lang w:eastAsia="pt-BR"/>
        </w:rPr>
        <w:t xml:space="preserve">omissão </w:t>
      </w:r>
      <w:r w:rsidR="0090318C">
        <w:rPr>
          <w:rFonts w:ascii="Times New Roman" w:hAnsi="Times New Roman"/>
          <w:b w:val="0"/>
          <w:bCs/>
          <w:lang w:eastAsia="pt-BR"/>
        </w:rPr>
        <w:t xml:space="preserve">na decisão sobre as </w:t>
      </w:r>
      <w:r>
        <w:rPr>
          <w:rFonts w:ascii="Times New Roman" w:hAnsi="Times New Roman"/>
          <w:b w:val="0"/>
          <w:bCs/>
          <w:lang w:eastAsia="pt-BR"/>
        </w:rPr>
        <w:t xml:space="preserve">propostas </w:t>
      </w:r>
      <w:r w:rsidR="00E67675">
        <w:rPr>
          <w:rFonts w:ascii="Times New Roman" w:hAnsi="Times New Roman"/>
          <w:b w:val="0"/>
          <w:bCs/>
          <w:lang w:eastAsia="pt-BR"/>
        </w:rPr>
        <w:t xml:space="preserve">solicitadas para </w:t>
      </w:r>
      <w:r>
        <w:rPr>
          <w:rFonts w:ascii="Times New Roman" w:hAnsi="Times New Roman"/>
          <w:b w:val="0"/>
          <w:bCs/>
          <w:lang w:eastAsia="pt-BR"/>
        </w:rPr>
        <w:t>m</w:t>
      </w:r>
      <w:r w:rsidR="000B30BD" w:rsidRPr="00B43395">
        <w:rPr>
          <w:rFonts w:ascii="Times New Roman" w:hAnsi="Times New Roman"/>
          <w:b w:val="0"/>
          <w:bCs/>
          <w:lang w:eastAsia="pt-BR"/>
        </w:rPr>
        <w:t>udança</w:t>
      </w:r>
      <w:r>
        <w:rPr>
          <w:rFonts w:ascii="Times New Roman" w:hAnsi="Times New Roman"/>
          <w:b w:val="0"/>
          <w:bCs/>
          <w:lang w:eastAsia="pt-BR"/>
        </w:rPr>
        <w:t>s</w:t>
      </w:r>
      <w:r w:rsidR="000B30BD" w:rsidRPr="00B43395">
        <w:rPr>
          <w:rFonts w:ascii="Times New Roman" w:hAnsi="Times New Roman"/>
          <w:b w:val="0"/>
          <w:bCs/>
          <w:lang w:eastAsia="pt-BR"/>
        </w:rPr>
        <w:t xml:space="preserve"> </w:t>
      </w:r>
      <w:r w:rsidR="00E67675">
        <w:rPr>
          <w:rFonts w:ascii="Times New Roman" w:hAnsi="Times New Roman"/>
          <w:b w:val="0"/>
          <w:bCs/>
          <w:lang w:eastAsia="pt-BR"/>
        </w:rPr>
        <w:t>das regras do RRT</w:t>
      </w:r>
      <w:r w:rsidR="00B43395" w:rsidRPr="00B43395">
        <w:rPr>
          <w:rFonts w:ascii="Times New Roman" w:hAnsi="Times New Roman"/>
          <w:b w:val="0"/>
          <w:bCs/>
          <w:lang w:eastAsia="pt-BR"/>
        </w:rPr>
        <w:t xml:space="preserve">, quanto à possibilidade </w:t>
      </w:r>
      <w:r w:rsidR="00E67675">
        <w:rPr>
          <w:rFonts w:ascii="Times New Roman" w:hAnsi="Times New Roman"/>
          <w:b w:val="0"/>
          <w:bCs/>
          <w:lang w:eastAsia="pt-BR"/>
        </w:rPr>
        <w:t>de promover:</w:t>
      </w:r>
    </w:p>
    <w:p w14:paraId="037B6B55" w14:textId="5AF56DAC" w:rsidR="00B43395" w:rsidRPr="00B43395" w:rsidRDefault="00B43395" w:rsidP="00B43395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B43395">
        <w:rPr>
          <w:rFonts w:ascii="Times New Roman" w:hAnsi="Times New Roman"/>
          <w:bCs/>
          <w:sz w:val="22"/>
          <w:szCs w:val="22"/>
          <w:lang w:eastAsia="pt-BR"/>
        </w:rPr>
        <w:t>i</w:t>
      </w:r>
      <w:r w:rsidR="000B30BD" w:rsidRPr="00B43395">
        <w:rPr>
          <w:rFonts w:ascii="Times New Roman" w:hAnsi="Times New Roman"/>
          <w:bCs/>
          <w:sz w:val="22"/>
          <w:szCs w:val="22"/>
          <w:lang w:eastAsia="pt-BR"/>
        </w:rPr>
        <w:t>senç</w:t>
      </w:r>
      <w:r w:rsidRPr="00B43395">
        <w:rPr>
          <w:rFonts w:ascii="Times New Roman" w:hAnsi="Times New Roman"/>
          <w:bCs/>
          <w:sz w:val="22"/>
          <w:szCs w:val="22"/>
          <w:lang w:eastAsia="pt-BR"/>
        </w:rPr>
        <w:t>ão</w:t>
      </w:r>
      <w:proofErr w:type="gramEnd"/>
      <w:r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 da taxa dos </w:t>
      </w:r>
      <w:proofErr w:type="spellStart"/>
      <w:r w:rsidRPr="00B43395">
        <w:rPr>
          <w:rFonts w:ascii="Times New Roman" w:hAnsi="Times New Roman"/>
          <w:bCs/>
          <w:sz w:val="22"/>
          <w:szCs w:val="22"/>
          <w:lang w:eastAsia="pt-BR"/>
        </w:rPr>
        <w:t>RRTs</w:t>
      </w:r>
      <w:proofErr w:type="spellEnd"/>
      <w:r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 de atividades específicas quando estes forem </w:t>
      </w:r>
      <w:r w:rsidR="000B30BD"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vinculados ao RRT </w:t>
      </w:r>
      <w:r w:rsidRPr="00B43395">
        <w:rPr>
          <w:rFonts w:ascii="Times New Roman" w:hAnsi="Times New Roman"/>
          <w:bCs/>
          <w:sz w:val="22"/>
          <w:szCs w:val="22"/>
          <w:lang w:eastAsia="pt-BR"/>
        </w:rPr>
        <w:t>Simples de Desempenho de Car</w:t>
      </w:r>
      <w:r w:rsidR="000B30BD"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go ou Função </w:t>
      </w:r>
      <w:r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(do mesmo profissional e contratante); e </w:t>
      </w:r>
    </w:p>
    <w:p w14:paraId="0545D92C" w14:textId="7A6C9851" w:rsidR="002B46B7" w:rsidRPr="00B43395" w:rsidRDefault="00B43395" w:rsidP="00B43395">
      <w:pPr>
        <w:pStyle w:val="PargrafodaLista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B43395">
        <w:rPr>
          <w:rFonts w:ascii="Times New Roman" w:hAnsi="Times New Roman"/>
          <w:bCs/>
          <w:sz w:val="22"/>
          <w:szCs w:val="22"/>
          <w:lang w:eastAsia="pt-BR"/>
        </w:rPr>
        <w:t>cobrança</w:t>
      </w:r>
      <w:proofErr w:type="gramEnd"/>
      <w:r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 de apenas 1 (um) taxa para todos os </w:t>
      </w:r>
      <w:proofErr w:type="spellStart"/>
      <w:r w:rsidRPr="00B43395">
        <w:rPr>
          <w:rFonts w:ascii="Times New Roman" w:hAnsi="Times New Roman"/>
          <w:bCs/>
          <w:sz w:val="22"/>
          <w:szCs w:val="22"/>
          <w:lang w:eastAsia="pt-BR"/>
        </w:rPr>
        <w:t>RRTs</w:t>
      </w:r>
      <w:proofErr w:type="spellEnd"/>
      <w:r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 vinculados ao RRT principal </w:t>
      </w:r>
      <w:r>
        <w:rPr>
          <w:rFonts w:ascii="Times New Roman" w:hAnsi="Times New Roman"/>
          <w:bCs/>
          <w:sz w:val="22"/>
          <w:szCs w:val="22"/>
          <w:lang w:eastAsia="pt-BR"/>
        </w:rPr>
        <w:t xml:space="preserve">registrado </w:t>
      </w:r>
      <w:r w:rsidRPr="00B43395">
        <w:rPr>
          <w:rFonts w:ascii="Times New Roman" w:hAnsi="Times New Roman"/>
          <w:bCs/>
          <w:sz w:val="22"/>
          <w:szCs w:val="22"/>
          <w:lang w:eastAsia="pt-BR"/>
        </w:rPr>
        <w:t xml:space="preserve">na forma de participação </w:t>
      </w:r>
      <w:r>
        <w:rPr>
          <w:rFonts w:ascii="Times New Roman" w:hAnsi="Times New Roman"/>
          <w:bCs/>
          <w:sz w:val="22"/>
          <w:szCs w:val="22"/>
          <w:lang w:eastAsia="pt-BR"/>
        </w:rPr>
        <w:t>“D</w:t>
      </w:r>
      <w:r w:rsidRPr="00B43395">
        <w:rPr>
          <w:rFonts w:ascii="Times New Roman" w:hAnsi="Times New Roman"/>
          <w:bCs/>
          <w:sz w:val="22"/>
          <w:szCs w:val="22"/>
          <w:lang w:eastAsia="pt-BR"/>
        </w:rPr>
        <w:t>e Equipe</w:t>
      </w:r>
      <w:r>
        <w:rPr>
          <w:rFonts w:ascii="Times New Roman" w:hAnsi="Times New Roman"/>
          <w:bCs/>
          <w:sz w:val="22"/>
          <w:szCs w:val="22"/>
          <w:lang w:eastAsia="pt-BR"/>
        </w:rPr>
        <w:t>”</w:t>
      </w:r>
      <w:r w:rsidR="008F4E76">
        <w:rPr>
          <w:rFonts w:ascii="Times New Roman" w:hAnsi="Times New Roman"/>
          <w:bCs/>
          <w:sz w:val="22"/>
          <w:szCs w:val="22"/>
          <w:lang w:eastAsia="pt-BR"/>
        </w:rPr>
        <w:t>.</w:t>
      </w:r>
    </w:p>
    <w:p w14:paraId="467424F1" w14:textId="77777777" w:rsidR="002943A2" w:rsidRPr="00B43395" w:rsidRDefault="002943A2" w:rsidP="002943A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161FE6CE" w14:textId="77777777" w:rsidR="00912C6D" w:rsidRPr="00912C6D" w:rsidRDefault="00BC30C5" w:rsidP="00912C6D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0E62B1A" w14:textId="77777777" w:rsidR="00912C6D" w:rsidRPr="00912C6D" w:rsidRDefault="00912C6D" w:rsidP="00912C6D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B56D7D" w:rsidRPr="00BB5F08" w14:paraId="004EAB7D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C1C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56D7D" w:rsidRPr="00BB5F08" w14:paraId="77F3A489" w14:textId="77777777" w:rsidTr="00240A6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68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2AEA" w14:textId="3B6BD331" w:rsidR="00912C6D" w:rsidRPr="00BB5F08" w:rsidRDefault="00912C6D" w:rsidP="000B30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a e tramitar o protocolo para </w:t>
            </w:r>
            <w:r w:rsidR="00BA3FAE">
              <w:rPr>
                <w:rFonts w:ascii="Times New Roman" w:hAnsi="Times New Roman"/>
                <w:b w:val="0"/>
                <w:lang w:eastAsia="pt-BR"/>
              </w:rPr>
              <w:t>providencias</w:t>
            </w:r>
            <w:r w:rsidR="000B30BD">
              <w:rPr>
                <w:rFonts w:ascii="Times New Roman" w:hAnsi="Times New Roman"/>
                <w:b w:val="0"/>
                <w:lang w:eastAsia="pt-BR"/>
              </w:rPr>
              <w:t xml:space="preserve"> da Gerência de Planejamento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786" w14:textId="133A48BA" w:rsidR="00912C6D" w:rsidRPr="00BB5F08" w:rsidRDefault="00912C6D" w:rsidP="000B30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  <w:r w:rsidR="00B56D7D">
              <w:rPr>
                <w:rFonts w:ascii="Times New Roman" w:hAnsi="Times New Roman"/>
                <w:b w:val="0"/>
                <w:lang w:eastAsia="pt-BR"/>
              </w:rPr>
              <w:t>té 5 dias</w:t>
            </w:r>
            <w:r w:rsidR="000B30BD">
              <w:rPr>
                <w:rFonts w:ascii="Times New Roman" w:hAnsi="Times New Roman"/>
                <w:b w:val="0"/>
                <w:lang w:eastAsia="pt-BR"/>
              </w:rPr>
              <w:t xml:space="preserve"> do recebimento do protocolo</w:t>
            </w:r>
          </w:p>
        </w:tc>
      </w:tr>
      <w:tr w:rsidR="00B56D7D" w:rsidRPr="00BB5F08" w14:paraId="733EF335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9BA" w14:textId="0BC93A25" w:rsidR="00912C6D" w:rsidRPr="001820D3" w:rsidRDefault="000B30B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D3A8" w14:textId="364AF615" w:rsidR="00912C6D" w:rsidRPr="001820D3" w:rsidRDefault="000B30BD" w:rsidP="00B56D7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GERPLAN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D1FC" w14:textId="07C1255B" w:rsidR="00912C6D" w:rsidRPr="001820D3" w:rsidRDefault="000B30BD" w:rsidP="00B56D7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Realizar os estudos de impactos financeiros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6D" w14:textId="06504AFC" w:rsidR="00912C6D" w:rsidRPr="001820D3" w:rsidRDefault="000B30BD" w:rsidP="00BA3FA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Pr="000B30BD">
              <w:rPr>
                <w:rFonts w:ascii="Times New Roman" w:hAnsi="Times New Roman"/>
                <w:b w:val="0"/>
                <w:highlight w:val="yellow"/>
                <w:lang w:eastAsia="pt-BR"/>
              </w:rPr>
              <w:t>30</w:t>
            </w:r>
            <w:r w:rsidR="00BA3FAE" w:rsidRPr="000B30BD">
              <w:rPr>
                <w:rFonts w:ascii="Times New Roman" w:hAnsi="Times New Roman"/>
                <w:b w:val="0"/>
                <w:highlight w:val="yellow"/>
                <w:lang w:eastAsia="pt-BR"/>
              </w:rPr>
              <w:t xml:space="preserve"> dias</w:t>
            </w:r>
            <w:r w:rsidR="00BA3FAE">
              <w:rPr>
                <w:rFonts w:ascii="Times New Roman" w:hAnsi="Times New Roman"/>
                <w:b w:val="0"/>
                <w:lang w:eastAsia="pt-BR"/>
              </w:rPr>
              <w:t xml:space="preserve"> do recebimento do protocolo</w:t>
            </w:r>
          </w:p>
        </w:tc>
      </w:tr>
    </w:tbl>
    <w:p w14:paraId="7A0F34D1" w14:textId="77777777" w:rsidR="00912C6D" w:rsidRPr="00F22051" w:rsidRDefault="00912C6D" w:rsidP="00912C6D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46A299E" w14:textId="77777777" w:rsidR="00BC30C5" w:rsidRPr="00F22051" w:rsidRDefault="00BC30C5" w:rsidP="00912C6D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EDF560A" w14:textId="77777777" w:rsidR="009F5860" w:rsidRDefault="009F5860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083CAD65"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bookmarkStart w:id="0" w:name="_GoBack"/>
      <w:bookmarkEnd w:id="0"/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BA3FAE"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B20D4"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5F44721C" w14:textId="77777777" w:rsidR="00BA3FAE" w:rsidRDefault="00BA3FAE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DA769C" w14:textId="77777777" w:rsidR="00BA3FAE" w:rsidRDefault="00BA3FAE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C49EC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2A8CD91F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14:paraId="787253CC" w14:textId="77777777" w:rsidR="00151FEA" w:rsidRPr="000F2FAF" w:rsidRDefault="00151FEA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14:paraId="5505BBA2" w14:textId="77777777"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57FC1FE0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7E5FAF09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37CAE43B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14:paraId="7DA27DED" w14:textId="77777777" w:rsidR="00151FEA" w:rsidRPr="000F2FAF" w:rsidRDefault="00151FEA" w:rsidP="00151FEA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5DC5ECC6" w14:textId="77777777" w:rsidR="00151FEA" w:rsidRPr="000F2FAF" w:rsidRDefault="00151FEA" w:rsidP="00151FEA">
      <w:pPr>
        <w:spacing w:after="0" w:line="240" w:lineRule="auto"/>
        <w:rPr>
          <w:rFonts w:ascii="Cambria" w:eastAsia="Cambria" w:hAnsi="Cambria" w:cs="Times New Roman"/>
          <w:b w:val="0"/>
          <w:color w:val="auto"/>
          <w:sz w:val="24"/>
          <w:szCs w:val="24"/>
        </w:rPr>
      </w:pPr>
    </w:p>
    <w:p w14:paraId="64675CF1" w14:textId="77777777" w:rsidR="00151FEA" w:rsidRPr="000F2FAF" w:rsidRDefault="00151FEA" w:rsidP="00151F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</w:rPr>
        <w:t>ALICE DA SILVA RODRIGUES ROSAS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____________________________________</w:t>
      </w:r>
    </w:p>
    <w:p w14:paraId="0D79AD44" w14:textId="5B0521BA" w:rsidR="00151FEA" w:rsidRDefault="00151FEA" w:rsidP="00BA3FAE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14:paraId="363A4AE9" w14:textId="77777777" w:rsidR="00151FEA" w:rsidRDefault="00151FEA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151FEA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15D5" w14:textId="77777777" w:rsidR="00821E85" w:rsidRDefault="00821E85" w:rsidP="00783D72">
      <w:pPr>
        <w:spacing w:after="0" w:line="240" w:lineRule="auto"/>
      </w:pPr>
      <w:r>
        <w:separator/>
      </w:r>
    </w:p>
  </w:endnote>
  <w:endnote w:type="continuationSeparator" w:id="0">
    <w:p w14:paraId="12DE8A8B" w14:textId="77777777" w:rsidR="00821E85" w:rsidRDefault="00821E8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77777777"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6766A50" wp14:editId="07D930E5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0671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706718" w:rsidRPr="00C25F47">
          <w:rPr>
            <w:b w:val="0"/>
            <w:bCs/>
            <w:color w:val="008080"/>
          </w:rPr>
          <w:fldChar w:fldCharType="separate"/>
        </w:r>
        <w:r w:rsidR="00CF24F4">
          <w:rPr>
            <w:bCs/>
            <w:noProof/>
            <w:color w:val="008080"/>
          </w:rPr>
          <w:t>2</w:t>
        </w:r>
        <w:r w:rsidR="0070671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67737" w14:textId="77777777" w:rsidR="00821E85" w:rsidRDefault="00821E85" w:rsidP="00783D72">
      <w:pPr>
        <w:spacing w:after="0" w:line="240" w:lineRule="auto"/>
      </w:pPr>
      <w:r>
        <w:separator/>
      </w:r>
    </w:p>
  </w:footnote>
  <w:footnote w:type="continuationSeparator" w:id="0">
    <w:p w14:paraId="641A1A5F" w14:textId="77777777" w:rsidR="00821E85" w:rsidRDefault="00821E8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4C90"/>
    <w:multiLevelType w:val="hybridMultilevel"/>
    <w:tmpl w:val="D5C8D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03C9"/>
    <w:multiLevelType w:val="hybridMultilevel"/>
    <w:tmpl w:val="72021C6E"/>
    <w:lvl w:ilvl="0" w:tplc="0794331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6A3A7C3A"/>
    <w:multiLevelType w:val="hybridMultilevel"/>
    <w:tmpl w:val="D22A2538"/>
    <w:lvl w:ilvl="0" w:tplc="0D0A85DC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F752C9B"/>
    <w:multiLevelType w:val="hybridMultilevel"/>
    <w:tmpl w:val="A77CE512"/>
    <w:lvl w:ilvl="0" w:tplc="289C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A5BF9"/>
    <w:rsid w:val="000B30BD"/>
    <w:rsid w:val="000B4847"/>
    <w:rsid w:val="001127C6"/>
    <w:rsid w:val="00124B00"/>
    <w:rsid w:val="001370DC"/>
    <w:rsid w:val="00146069"/>
    <w:rsid w:val="00151FEA"/>
    <w:rsid w:val="0018099F"/>
    <w:rsid w:val="00193E0F"/>
    <w:rsid w:val="001B20D4"/>
    <w:rsid w:val="001C1B20"/>
    <w:rsid w:val="001E3E4B"/>
    <w:rsid w:val="001E48CD"/>
    <w:rsid w:val="001E5364"/>
    <w:rsid w:val="001F074F"/>
    <w:rsid w:val="002009ED"/>
    <w:rsid w:val="00212CD0"/>
    <w:rsid w:val="0024243A"/>
    <w:rsid w:val="00244041"/>
    <w:rsid w:val="00277F51"/>
    <w:rsid w:val="002943A2"/>
    <w:rsid w:val="002B46B7"/>
    <w:rsid w:val="002D5C1F"/>
    <w:rsid w:val="003561C1"/>
    <w:rsid w:val="00374957"/>
    <w:rsid w:val="003C65E8"/>
    <w:rsid w:val="003F7643"/>
    <w:rsid w:val="00424D38"/>
    <w:rsid w:val="00430318"/>
    <w:rsid w:val="00442E1A"/>
    <w:rsid w:val="00480A51"/>
    <w:rsid w:val="004F50EF"/>
    <w:rsid w:val="005147EF"/>
    <w:rsid w:val="005A232A"/>
    <w:rsid w:val="005A357B"/>
    <w:rsid w:val="005F1BA0"/>
    <w:rsid w:val="00604026"/>
    <w:rsid w:val="00676D60"/>
    <w:rsid w:val="006D5261"/>
    <w:rsid w:val="00706718"/>
    <w:rsid w:val="00715B28"/>
    <w:rsid w:val="00755049"/>
    <w:rsid w:val="007662F7"/>
    <w:rsid w:val="00783D72"/>
    <w:rsid w:val="00784E39"/>
    <w:rsid w:val="007A7411"/>
    <w:rsid w:val="007B311A"/>
    <w:rsid w:val="007C25B8"/>
    <w:rsid w:val="007D663B"/>
    <w:rsid w:val="00812CE5"/>
    <w:rsid w:val="008140F1"/>
    <w:rsid w:val="00821E85"/>
    <w:rsid w:val="00835EB9"/>
    <w:rsid w:val="00864FAD"/>
    <w:rsid w:val="008D5192"/>
    <w:rsid w:val="008F4E76"/>
    <w:rsid w:val="0090318C"/>
    <w:rsid w:val="009033A6"/>
    <w:rsid w:val="00912C6D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409A5"/>
    <w:rsid w:val="00A43CFF"/>
    <w:rsid w:val="00A61DCF"/>
    <w:rsid w:val="00AC61CD"/>
    <w:rsid w:val="00B047DE"/>
    <w:rsid w:val="00B14072"/>
    <w:rsid w:val="00B43395"/>
    <w:rsid w:val="00B519A7"/>
    <w:rsid w:val="00B56D7D"/>
    <w:rsid w:val="00BA0D9C"/>
    <w:rsid w:val="00BA3FAE"/>
    <w:rsid w:val="00BA701E"/>
    <w:rsid w:val="00BB1EA6"/>
    <w:rsid w:val="00BC30C5"/>
    <w:rsid w:val="00C00FD5"/>
    <w:rsid w:val="00C0125D"/>
    <w:rsid w:val="00C25F47"/>
    <w:rsid w:val="00C274F8"/>
    <w:rsid w:val="00C87B0F"/>
    <w:rsid w:val="00C90D5F"/>
    <w:rsid w:val="00CD3537"/>
    <w:rsid w:val="00CE13EE"/>
    <w:rsid w:val="00CF24F4"/>
    <w:rsid w:val="00D26145"/>
    <w:rsid w:val="00D26370"/>
    <w:rsid w:val="00D46F08"/>
    <w:rsid w:val="00D7374F"/>
    <w:rsid w:val="00D84324"/>
    <w:rsid w:val="00D9241C"/>
    <w:rsid w:val="00D92589"/>
    <w:rsid w:val="00DA6E99"/>
    <w:rsid w:val="00DB0211"/>
    <w:rsid w:val="00DB2DA6"/>
    <w:rsid w:val="00DC1E4C"/>
    <w:rsid w:val="00DF28ED"/>
    <w:rsid w:val="00DF7344"/>
    <w:rsid w:val="00DF7B85"/>
    <w:rsid w:val="00E36747"/>
    <w:rsid w:val="00E625E1"/>
    <w:rsid w:val="00E66B3C"/>
    <w:rsid w:val="00E67675"/>
    <w:rsid w:val="00E74517"/>
    <w:rsid w:val="00E96D78"/>
    <w:rsid w:val="00EB1374"/>
    <w:rsid w:val="00ED4EE0"/>
    <w:rsid w:val="00ED7498"/>
    <w:rsid w:val="00EF3E61"/>
    <w:rsid w:val="00F16916"/>
    <w:rsid w:val="00F22166"/>
    <w:rsid w:val="00F22E1A"/>
    <w:rsid w:val="00F32C3A"/>
    <w:rsid w:val="00FD7F22"/>
    <w:rsid w:val="00FF3F9C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12</cp:revision>
  <dcterms:created xsi:type="dcterms:W3CDTF">2021-11-02T14:16:00Z</dcterms:created>
  <dcterms:modified xsi:type="dcterms:W3CDTF">2021-11-04T18:38:00Z</dcterms:modified>
</cp:coreProperties>
</file>