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9C4E8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C4E8E" w:rsidRDefault="009C4E8E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C4E8E">
              <w:rPr>
                <w:rFonts w:ascii="Times New Roman" w:hAnsi="Times New Roman"/>
                <w:b w:val="0"/>
              </w:rPr>
              <w:t>1321623/2021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F9601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C4E8E" w:rsidRDefault="009C4E8E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9C4E8E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F9601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C4E8E" w:rsidRDefault="009C4E8E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bookmarkStart w:id="0" w:name="_GoBack"/>
            <w:bookmarkEnd w:id="0"/>
            <w:r w:rsidRPr="009C4E8E">
              <w:rPr>
                <w:rFonts w:ascii="Times New Roman" w:hAnsi="Times New Roman"/>
                <w:b w:val="0"/>
              </w:rPr>
              <w:t xml:space="preserve">CAU/RS solicita alteração da regra de tempestividade para RRT de atividades do grupo 2 - Execução, relativo ao inciso I do art. 2º da Resolução </w:t>
            </w:r>
            <w:proofErr w:type="gramStart"/>
            <w:r w:rsidRPr="009C4E8E">
              <w:rPr>
                <w:rFonts w:ascii="Times New Roman" w:hAnsi="Times New Roman"/>
                <w:b w:val="0"/>
              </w:rPr>
              <w:t>91</w:t>
            </w:r>
            <w:proofErr w:type="gramEnd"/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DD1B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8A3A8B" w:rsidRPr="00DD1B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9C4E8E" w:rsidRPr="00DD1B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0D23BC" w:rsidRPr="00DD1B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</w:t>
      </w:r>
      <w:r w:rsidRPr="00DD1B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 – CEP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BA1357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ordinariamente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em Brasília, na sede do CAU/BR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7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6D6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CD3537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8A3A8B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em</w:t>
      </w:r>
      <w:proofErr w:type="gramEnd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epígrafe</w:t>
      </w:r>
      <w:proofErr w:type="gramEnd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, e</w:t>
      </w:r>
    </w:p>
    <w:p w:rsidR="00784E39" w:rsidRPr="00C15C1C" w:rsidRDefault="00784E39" w:rsidP="00BA1357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26137" w:rsidRDefault="00784E39" w:rsidP="0082613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580E0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Ofício PRES-CAU/RS 166/2021 no qual a Presidência do CAU/RS encaminhou a </w:t>
      </w:r>
      <w:r w:rsidR="00826137" w:rsidRPr="00580E01">
        <w:rPr>
          <w:rFonts w:ascii="Times New Roman" w:eastAsia="Times New Roman" w:hAnsi="Times New Roman" w:cs="Times New Roman"/>
          <w:b w:val="0"/>
          <w:color w:val="auto"/>
          <w:lang w:eastAsia="pt-BR"/>
        </w:rPr>
        <w:t>Deliberaçã</w:t>
      </w:r>
      <w:r w:rsidR="00580E0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Plenária DPO/RS nº 1303/2021 que determinou o envio à </w:t>
      </w:r>
      <w:r w:rsidR="00826137" w:rsidRPr="00580E0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presidência do CAU/BR de solicitação de </w:t>
      </w:r>
      <w:r w:rsidR="007B57AF">
        <w:rPr>
          <w:rFonts w:ascii="Times New Roman" w:eastAsia="Times New Roman" w:hAnsi="Times New Roman" w:cs="Times New Roman"/>
          <w:b w:val="0"/>
          <w:color w:val="auto"/>
          <w:lang w:eastAsia="pt-BR"/>
        </w:rPr>
        <w:t>“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reversão imediata da</w:t>
      </w:r>
      <w:r w:rsidR="00580E01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alteração realizada no SICCAU</w:t>
      </w:r>
      <w:r w:rsidR="00F96018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,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realizada após a</w:t>
      </w:r>
      <w:r w:rsidR="00580E01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interpretação do Inciso I, ART. 2° da Resolução nº 91</w:t>
      </w:r>
      <w:r w:rsidR="00F96018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/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2014 pela CEP-CAU/BR,</w:t>
      </w:r>
      <w:r w:rsidR="00580E01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a qual passou a considerar como extemporâneos os </w:t>
      </w:r>
      <w:proofErr w:type="spellStart"/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RRTs</w:t>
      </w:r>
      <w:proofErr w:type="spellEnd"/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de execução, realizados no mesmo</w:t>
      </w:r>
      <w:r w:rsidR="00580E01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dia do início da atividade, estabelecendo que o registro </w:t>
      </w:r>
      <w:proofErr w:type="gramStart"/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deve</w:t>
      </w:r>
      <w:proofErr w:type="gramEnd"/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ser realizado até o dia anterior</w:t>
      </w:r>
      <w:r w:rsidR="00580E01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(incluindo-o) à data do início da atividade</w:t>
      </w:r>
      <w:r w:rsidR="007B57AF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”</w:t>
      </w:r>
      <w:r w:rsidR="00826137" w:rsidRPr="007B57AF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;</w:t>
      </w:r>
    </w:p>
    <w:p w:rsidR="00826137" w:rsidRDefault="00826137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96018" w:rsidRPr="00661D2A" w:rsidRDefault="00F96018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661D2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Lei </w:t>
      </w:r>
      <w:r w:rsidR="00661D2A" w:rsidRPr="00661D2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Pr="00661D2A">
        <w:rPr>
          <w:rFonts w:ascii="Times New Roman" w:eastAsia="Times New Roman" w:hAnsi="Times New Roman" w:cs="Times New Roman"/>
          <w:b w:val="0"/>
          <w:color w:val="auto"/>
          <w:lang w:eastAsia="pt-BR"/>
        </w:rPr>
        <w:t>12</w:t>
      </w:r>
      <w:r w:rsidR="00661D2A" w:rsidRPr="00661D2A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  <w:r w:rsidRPr="00661D2A">
        <w:rPr>
          <w:rFonts w:ascii="Times New Roman" w:eastAsia="Times New Roman" w:hAnsi="Times New Roman" w:cs="Times New Roman"/>
          <w:b w:val="0"/>
          <w:color w:val="auto"/>
          <w:lang w:eastAsia="pt-BR"/>
        </w:rPr>
        <w:t>378</w:t>
      </w:r>
      <w:r w:rsidR="00661D2A" w:rsidRPr="00661D2A">
        <w:rPr>
          <w:rFonts w:ascii="Times New Roman" w:eastAsia="Times New Roman" w:hAnsi="Times New Roman" w:cs="Times New Roman"/>
          <w:b w:val="0"/>
          <w:color w:val="auto"/>
          <w:lang w:eastAsia="pt-BR"/>
        </w:rPr>
        <w:t>, de 31 d</w:t>
      </w:r>
      <w:r w:rsidR="007B57AF">
        <w:rPr>
          <w:rFonts w:ascii="Times New Roman" w:eastAsia="Times New Roman" w:hAnsi="Times New Roman" w:cs="Times New Roman"/>
          <w:b w:val="0"/>
          <w:color w:val="auto"/>
          <w:lang w:eastAsia="pt-BR"/>
        </w:rPr>
        <w:t>e dezembro de 2010,</w:t>
      </w:r>
      <w:proofErr w:type="gramStart"/>
      <w:r w:rsidR="007B57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 </w:t>
      </w:r>
      <w:proofErr w:type="gramEnd"/>
      <w:r w:rsidR="007B57AF">
        <w:rPr>
          <w:rFonts w:ascii="Times New Roman" w:eastAsia="Times New Roman" w:hAnsi="Times New Roman" w:cs="Times New Roman"/>
          <w:b w:val="0"/>
          <w:color w:val="auto"/>
          <w:lang w:eastAsia="pt-BR"/>
        </w:rPr>
        <w:t>que em seus</w:t>
      </w:r>
      <w:r w:rsidR="00661D2A" w:rsidRPr="00661D2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artigos 45 a 50 dispõe sobre o </w:t>
      </w:r>
      <w:r w:rsidR="00661D2A" w:rsidRPr="00661D2A">
        <w:rPr>
          <w:rFonts w:ascii="Times New Roman" w:hAnsi="Times New Roman" w:cs="Times New Roman"/>
          <w:b w:val="0"/>
        </w:rPr>
        <w:t>Registro de Responsabilidade Técnica – RRT no CAU;</w:t>
      </w:r>
    </w:p>
    <w:p w:rsidR="00661D2A" w:rsidRDefault="00661D2A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61D2A" w:rsidRPr="00661D2A" w:rsidRDefault="00661D2A" w:rsidP="00661D2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 w:rsidRPr="00661D2A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Art. 45. Toda realização de trabalho de competência privativa ou de atuação compartilhadas com outras profissões regulamentadas será objeto de Registro de Responsabilidade Técnica - RRT. </w:t>
      </w:r>
    </w:p>
    <w:p w:rsidR="00661D2A" w:rsidRPr="00661D2A" w:rsidRDefault="00661D2A" w:rsidP="00661D2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 w:rsidRPr="00661D2A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§ 1o Ato do CAU/BR </w:t>
      </w:r>
      <w:r w:rsidRPr="00661D2A">
        <w:rPr>
          <w:rFonts w:ascii="Times New Roman" w:eastAsia="Times New Roman" w:hAnsi="Times New Roman" w:cs="Times New Roman"/>
          <w:i/>
          <w:color w:val="auto"/>
          <w:u w:val="single"/>
          <w:lang w:eastAsia="pt-BR"/>
        </w:rPr>
        <w:t>detalhará as hipóteses de obrigatoriedade</w:t>
      </w:r>
      <w:r w:rsidRPr="00661D2A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da RRT.</w:t>
      </w:r>
    </w:p>
    <w:p w:rsidR="00F96018" w:rsidRPr="00661D2A" w:rsidRDefault="00F96018" w:rsidP="00661D2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</w:p>
    <w:p w:rsidR="00661D2A" w:rsidRPr="00661D2A" w:rsidRDefault="00661D2A" w:rsidP="00661D2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 w:rsidRPr="00661D2A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Art. 47. O RRT será </w:t>
      </w:r>
      <w:r w:rsidRPr="00661D2A">
        <w:rPr>
          <w:rFonts w:ascii="Times New Roman" w:eastAsia="Times New Roman" w:hAnsi="Times New Roman" w:cs="Times New Roman"/>
          <w:i/>
          <w:color w:val="auto"/>
          <w:u w:val="single"/>
          <w:lang w:eastAsia="pt-BR"/>
        </w:rPr>
        <w:t xml:space="preserve">efetuado </w:t>
      </w:r>
      <w:r w:rsidRPr="00661D2A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pelo profissional ou pela pessoa jurídica responsável, por intermédio de seu profissional habilitado legalmente no CAU. </w:t>
      </w:r>
    </w:p>
    <w:p w:rsidR="00661D2A" w:rsidRPr="00661D2A" w:rsidRDefault="00661D2A" w:rsidP="00661D2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</w:p>
    <w:p w:rsidR="00661D2A" w:rsidRPr="00661D2A" w:rsidRDefault="00661D2A" w:rsidP="00661D2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 w:rsidRPr="00661D2A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Art. 48. Não será </w:t>
      </w:r>
      <w:r w:rsidRPr="00661D2A">
        <w:rPr>
          <w:rFonts w:ascii="Times New Roman" w:eastAsia="Times New Roman" w:hAnsi="Times New Roman" w:cs="Times New Roman"/>
          <w:i/>
          <w:color w:val="auto"/>
          <w:u w:val="single"/>
          <w:lang w:eastAsia="pt-BR"/>
        </w:rPr>
        <w:t xml:space="preserve">efetuado </w:t>
      </w:r>
      <w:r w:rsidRPr="00661D2A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RRT sem o prévio recolhimento da Taxa de RRT pela pessoa física do profissional ou pela pessoa jurídica responsável.</w:t>
      </w:r>
    </w:p>
    <w:p w:rsidR="00661D2A" w:rsidRDefault="00661D2A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AC02B0" w:rsidRDefault="00AC02B0" w:rsidP="00AC02B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>Considerando a</w:t>
      </w:r>
      <w:bookmarkStart w:id="1" w:name="RESOLUÇÃO_N__91,_DE_9_DE_OUTUBRO_DE_2014"/>
      <w:bookmarkEnd w:id="1"/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Resolução n</w:t>
      </w:r>
      <w:r w:rsidR="007B57AF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t-BR"/>
        </w:rPr>
        <w:t>º</w:t>
      </w: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91, de </w:t>
      </w:r>
      <w:proofErr w:type="gramStart"/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9</w:t>
      </w:r>
      <w:proofErr w:type="gramEnd"/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de outubro de 2014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que </w:t>
      </w:r>
      <w:bookmarkStart w:id="2" w:name="Dispõe_sobre_o_Registro_de_Responsabilid"/>
      <w:bookmarkEnd w:id="2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</w:t>
      </w: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ispõe sobre o Registro de Responsabilidade Técnica (RRT)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e define </w:t>
      </w:r>
      <w:r w:rsidR="00661D2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em seu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art. 2º as condições de tempestividade que tornam obrigatória a </w:t>
      </w:r>
      <w:r w:rsidR="00661D2A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realização do devido registro de RRT no CAU, dispondo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que:</w:t>
      </w:r>
    </w:p>
    <w:p w:rsidR="00AC02B0" w:rsidRPr="00D739D0" w:rsidRDefault="00AC02B0" w:rsidP="00AC02B0">
      <w:pPr>
        <w:pStyle w:val="Corpodetexto"/>
        <w:spacing w:before="81"/>
        <w:ind w:left="567" w:right="117"/>
        <w:jc w:val="both"/>
        <w:rPr>
          <w:i/>
        </w:rPr>
      </w:pPr>
      <w:r w:rsidRPr="00D739D0">
        <w:rPr>
          <w:i/>
          <w:lang w:bidi="ar-SA"/>
        </w:rPr>
        <w:t xml:space="preserve">I – quando se tratar de atividade técnica do Item </w:t>
      </w:r>
      <w:proofErr w:type="gramStart"/>
      <w:r w:rsidRPr="00D739D0">
        <w:rPr>
          <w:i/>
          <w:lang w:bidi="ar-SA"/>
        </w:rPr>
        <w:t>2</w:t>
      </w:r>
      <w:proofErr w:type="gramEnd"/>
      <w:r w:rsidRPr="00D739D0">
        <w:rPr>
          <w:i/>
          <w:lang w:bidi="ar-SA"/>
        </w:rPr>
        <w:t xml:space="preserve"> (Grupo “Execução”) do art. 3° da Resolução CAU/BR n° 21, de 2012, o RRT deverá ser</w:t>
      </w:r>
      <w:r w:rsidRPr="00D739D0">
        <w:rPr>
          <w:b/>
          <w:i/>
          <w:lang w:bidi="ar-SA"/>
        </w:rPr>
        <w:t xml:space="preserve"> </w:t>
      </w:r>
      <w:r w:rsidRPr="00DD1BE6">
        <w:rPr>
          <w:b/>
          <w:i/>
          <w:lang w:bidi="ar-SA"/>
        </w:rPr>
        <w:t>efetuado</w:t>
      </w:r>
      <w:r w:rsidRPr="00DD1BE6">
        <w:rPr>
          <w:i/>
          <w:lang w:bidi="ar-SA"/>
        </w:rPr>
        <w:t xml:space="preserve"> </w:t>
      </w:r>
      <w:r w:rsidRPr="00DD1BE6">
        <w:rPr>
          <w:b/>
          <w:i/>
          <w:u w:val="single"/>
          <w:lang w:bidi="ar-SA"/>
        </w:rPr>
        <w:t>antes</w:t>
      </w:r>
      <w:r w:rsidRPr="00D739D0">
        <w:rPr>
          <w:i/>
          <w:lang w:bidi="ar-SA"/>
        </w:rPr>
        <w:t xml:space="preserve"> do início da atividade; </w:t>
      </w:r>
    </w:p>
    <w:p w:rsidR="00AC02B0" w:rsidRPr="00D739D0" w:rsidRDefault="00AC02B0" w:rsidP="00AC02B0">
      <w:pPr>
        <w:pStyle w:val="Corpodetexto"/>
        <w:spacing w:before="81"/>
        <w:ind w:left="567" w:right="117"/>
        <w:jc w:val="both"/>
        <w:rPr>
          <w:i/>
        </w:rPr>
      </w:pPr>
      <w:r w:rsidRPr="00D739D0">
        <w:rPr>
          <w:i/>
          <w:lang w:bidi="ar-SA"/>
        </w:rPr>
        <w:t xml:space="preserve">II – quando se tratar de atividades dos Itens </w:t>
      </w:r>
      <w:proofErr w:type="gramStart"/>
      <w:r w:rsidRPr="00D739D0">
        <w:rPr>
          <w:i/>
          <w:lang w:bidi="ar-SA"/>
        </w:rPr>
        <w:t>1</w:t>
      </w:r>
      <w:proofErr w:type="gramEnd"/>
      <w:r w:rsidRPr="00D739D0">
        <w:rPr>
          <w:i/>
          <w:lang w:bidi="ar-SA"/>
        </w:rPr>
        <w:t xml:space="preserve"> e 4 (Grupos: “Projeto” e “Meio Ambiente e Planejamento Regional e Urbano”) e das atividades 3.1, 7.8.12 e 7.8.13 (Coordenação e Compatibilização de Projetos, Projeto de Sistema de Segurança e Projeto de Proteção Contra Incêndios) do art. 3° da Resolução CAU/BR n° 21, de 2012, o RRT deverá ser </w:t>
      </w:r>
      <w:r w:rsidRPr="00DD1BE6">
        <w:rPr>
          <w:b/>
          <w:i/>
          <w:lang w:bidi="ar-SA"/>
        </w:rPr>
        <w:t>efetuado</w:t>
      </w:r>
      <w:r w:rsidRPr="00D739D0">
        <w:rPr>
          <w:i/>
          <w:lang w:bidi="ar-SA"/>
        </w:rPr>
        <w:t xml:space="preserve"> até o término da atividade ou:</w:t>
      </w:r>
    </w:p>
    <w:p w:rsidR="00AC02B0" w:rsidRPr="00D739D0" w:rsidRDefault="00AC02B0" w:rsidP="00AC02B0">
      <w:pPr>
        <w:pStyle w:val="Corpodetexto"/>
        <w:numPr>
          <w:ilvl w:val="0"/>
          <w:numId w:val="4"/>
        </w:numPr>
        <w:spacing w:before="81"/>
        <w:ind w:left="993" w:right="117"/>
        <w:jc w:val="both"/>
        <w:rPr>
          <w:i/>
        </w:rPr>
      </w:pPr>
      <w:proofErr w:type="gramStart"/>
      <w:r w:rsidRPr="00D739D0">
        <w:rPr>
          <w:i/>
          <w:lang w:bidi="ar-SA"/>
        </w:rPr>
        <w:t>até</w:t>
      </w:r>
      <w:proofErr w:type="gramEnd"/>
      <w:r w:rsidRPr="00D739D0">
        <w:rPr>
          <w:i/>
          <w:lang w:bidi="ar-SA"/>
        </w:rPr>
        <w:t xml:space="preserve"> entrega final dos documentos técnicos, objeto do contrato, ao contratante; </w:t>
      </w:r>
    </w:p>
    <w:p w:rsidR="00AC02B0" w:rsidRPr="00DD1BE6" w:rsidRDefault="00AC02B0" w:rsidP="00AC02B0">
      <w:pPr>
        <w:pStyle w:val="Corpodetexto"/>
        <w:numPr>
          <w:ilvl w:val="0"/>
          <w:numId w:val="4"/>
        </w:numPr>
        <w:spacing w:before="81"/>
        <w:ind w:left="993" w:right="117"/>
        <w:jc w:val="both"/>
        <w:rPr>
          <w:i/>
        </w:rPr>
      </w:pPr>
      <w:proofErr w:type="gramStart"/>
      <w:r w:rsidRPr="00DD1BE6">
        <w:rPr>
          <w:b/>
          <w:i/>
          <w:u w:val="single"/>
          <w:lang w:bidi="ar-SA"/>
        </w:rPr>
        <w:t>antes</w:t>
      </w:r>
      <w:proofErr w:type="gramEnd"/>
      <w:r w:rsidRPr="00DD1BE6">
        <w:rPr>
          <w:i/>
          <w:lang w:bidi="ar-SA"/>
        </w:rPr>
        <w:t xml:space="preserve"> de dar entrada e/ou protocolar em pessoa jurídica, pública ou privada, responsável pela análise e aprovação do projeto e/ou documento técnico, objeto do contrato; ou </w:t>
      </w:r>
    </w:p>
    <w:p w:rsidR="00AC02B0" w:rsidRPr="00DD1BE6" w:rsidRDefault="00AC02B0" w:rsidP="00AC02B0">
      <w:pPr>
        <w:pStyle w:val="Corpodetexto"/>
        <w:numPr>
          <w:ilvl w:val="0"/>
          <w:numId w:val="4"/>
        </w:numPr>
        <w:spacing w:before="81"/>
        <w:ind w:left="993" w:right="117"/>
        <w:jc w:val="both"/>
        <w:rPr>
          <w:i/>
        </w:rPr>
      </w:pPr>
      <w:proofErr w:type="gramStart"/>
      <w:r w:rsidRPr="00DD1BE6">
        <w:rPr>
          <w:b/>
          <w:i/>
          <w:u w:val="single"/>
          <w:lang w:bidi="ar-SA"/>
        </w:rPr>
        <w:t>antes</w:t>
      </w:r>
      <w:proofErr w:type="gramEnd"/>
      <w:r w:rsidR="007B57AF" w:rsidRPr="00DD1BE6">
        <w:rPr>
          <w:b/>
          <w:i/>
          <w:lang w:bidi="ar-SA"/>
        </w:rPr>
        <w:t xml:space="preserve"> </w:t>
      </w:r>
      <w:r w:rsidRPr="00DD1BE6">
        <w:rPr>
          <w:i/>
          <w:lang w:bidi="ar-SA"/>
        </w:rPr>
        <w:t xml:space="preserve">da publicação ou divulgação dos documentos técnicos, objeto do contrato, em elementos de comunicação dirigido ao cliente e ao público em geral; </w:t>
      </w:r>
    </w:p>
    <w:p w:rsidR="00AC02B0" w:rsidRPr="00D739D0" w:rsidRDefault="00AC02B0" w:rsidP="00AC02B0">
      <w:pPr>
        <w:pStyle w:val="Corpodetexto"/>
        <w:spacing w:before="81"/>
        <w:ind w:left="567" w:right="117"/>
        <w:jc w:val="both"/>
        <w:rPr>
          <w:i/>
        </w:rPr>
      </w:pPr>
      <w:proofErr w:type="gramStart"/>
      <w:r w:rsidRPr="00DD1BE6">
        <w:rPr>
          <w:i/>
          <w:lang w:bidi="ar-SA"/>
        </w:rPr>
        <w:t xml:space="preserve">III – para as demais atividades técnicas, o RRT deverá ser </w:t>
      </w:r>
      <w:r w:rsidRPr="00DD1BE6">
        <w:rPr>
          <w:b/>
          <w:i/>
          <w:lang w:bidi="ar-SA"/>
        </w:rPr>
        <w:t>efetuado</w:t>
      </w:r>
      <w:r w:rsidRPr="00DD1BE6">
        <w:rPr>
          <w:i/>
          <w:lang w:bidi="ar-SA"/>
        </w:rPr>
        <w:t xml:space="preserve"> em até 30 (trinta) dias contados da data de início da atividade e desde que seja </w:t>
      </w:r>
      <w:r w:rsidRPr="00DD1BE6">
        <w:rPr>
          <w:b/>
          <w:i/>
          <w:u w:val="single"/>
          <w:lang w:bidi="ar-SA"/>
        </w:rPr>
        <w:t>antes</w:t>
      </w:r>
      <w:r w:rsidRPr="00D739D0">
        <w:rPr>
          <w:b/>
          <w:i/>
          <w:u w:val="single"/>
          <w:lang w:bidi="ar-SA"/>
        </w:rPr>
        <w:t xml:space="preserve"> </w:t>
      </w:r>
      <w:r w:rsidRPr="00D739D0">
        <w:rPr>
          <w:i/>
          <w:lang w:bidi="ar-SA"/>
        </w:rPr>
        <w:t>da data de término da atividade.”</w:t>
      </w:r>
      <w:proofErr w:type="gramEnd"/>
    </w:p>
    <w:p w:rsidR="00784E39" w:rsidRDefault="00784E39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96018" w:rsidRDefault="00F96018" w:rsidP="00F96018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ões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nº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017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>/2021 da CEP-CAU/BR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 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respondeu à demanda do CAU/SC 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solicitou informações 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>da gerência do CSC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por meio do protocolo SICCAU nº </w:t>
      </w:r>
      <w:r w:rsidR="000D23BC">
        <w:rPr>
          <w:rFonts w:ascii="Times New Roman" w:eastAsia="Times New Roman" w:hAnsi="Times New Roman" w:cs="Times New Roman"/>
          <w:b w:val="0"/>
          <w:color w:val="auto"/>
          <w:lang w:eastAsia="pt-BR"/>
        </w:rPr>
        <w:t>1316416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quanto às regras de tempestividade 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implementadas no módulo do RRT no SICCAU relativas às condições de tempestividades definidas no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art. 2º da Resolução CAU/BR nº 91, de 2014, alterada 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pela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Resolução CAU/BR nº 184, de 2019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>, que entrou em vigor em setembro de 2020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proofErr w:type="gramStart"/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proofErr w:type="gramEnd"/>
    </w:p>
    <w:p w:rsidR="00F96018" w:rsidRPr="009C4E8E" w:rsidRDefault="00F96018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96018" w:rsidRDefault="00F96018" w:rsidP="00F96018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>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nº 020/2021 d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>a CEP-CAU/BR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 solicitou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parecer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da assessoria jurídica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conforme esclarecimentos dispostos na descrição do passo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7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protocolo </w:t>
      </w:r>
      <w:r w:rsidR="00D739D0">
        <w:rPr>
          <w:rFonts w:ascii="Times New Roman" w:eastAsia="Times New Roman" w:hAnsi="Times New Roman" w:cs="Times New Roman"/>
          <w:b w:val="0"/>
          <w:color w:val="auto"/>
          <w:lang w:eastAsia="pt-BR"/>
        </w:rPr>
        <w:t>1321623.</w:t>
      </w:r>
      <w:r w:rsidRPr="009C4E8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</w:p>
    <w:p w:rsidR="009C4E8E" w:rsidRPr="00C15C1C" w:rsidRDefault="009C4E8E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Pr="00C15C1C" w:rsidRDefault="00784E39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15C1C" w:rsidRDefault="00784E39" w:rsidP="00BA135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361046" w:rsidRPr="00361046" w:rsidRDefault="00361046" w:rsidP="00361046">
      <w:pPr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="00AC02B0" w:rsidRPr="00361046">
        <w:rPr>
          <w:rFonts w:ascii="Times New Roman" w:hAnsi="Times New Roman"/>
          <w:b w:val="0"/>
          <w:bCs/>
          <w:lang w:eastAsia="pt-BR"/>
        </w:rPr>
        <w:t xml:space="preserve">Informar ao CAU/RS que as regras relacionadas às condições de tempestividade para </w:t>
      </w:r>
      <w:r w:rsidR="00AC02B0" w:rsidRPr="00D64FCF">
        <w:rPr>
          <w:rFonts w:ascii="Times New Roman" w:hAnsi="Times New Roman"/>
          <w:b w:val="0"/>
          <w:bCs/>
          <w:lang w:eastAsia="pt-BR"/>
        </w:rPr>
        <w:t>efetuar</w:t>
      </w:r>
      <w:r w:rsidR="00AC02B0" w:rsidRPr="00361046">
        <w:rPr>
          <w:rFonts w:ascii="Times New Roman" w:hAnsi="Times New Roman"/>
          <w:b w:val="0"/>
          <w:bCs/>
          <w:lang w:eastAsia="pt-BR"/>
        </w:rPr>
        <w:t xml:space="preserve"> o RRT no CAU estão implementadas no SICCAU em conformidade </w:t>
      </w:r>
      <w:r w:rsidR="00DD1BE6">
        <w:rPr>
          <w:rFonts w:ascii="Times New Roman" w:hAnsi="Times New Roman"/>
          <w:b w:val="0"/>
          <w:bCs/>
          <w:lang w:eastAsia="pt-BR"/>
        </w:rPr>
        <w:t xml:space="preserve">com o </w:t>
      </w:r>
      <w:r w:rsidR="00AC02B0" w:rsidRPr="00361046">
        <w:rPr>
          <w:rFonts w:ascii="Times New Roman" w:hAnsi="Times New Roman"/>
          <w:b w:val="0"/>
          <w:bCs/>
          <w:lang w:eastAsia="pt-BR"/>
        </w:rPr>
        <w:t xml:space="preserve">normativo do CAU/BR correlato ao assunto e em vigência, que nesse caso é a Resolução CAU/BR nº 91, de </w:t>
      </w:r>
      <w:proofErr w:type="gramStart"/>
      <w:r w:rsidR="00AC02B0" w:rsidRPr="00361046">
        <w:rPr>
          <w:rFonts w:ascii="Times New Roman" w:hAnsi="Times New Roman"/>
          <w:b w:val="0"/>
          <w:bCs/>
          <w:lang w:eastAsia="pt-BR"/>
        </w:rPr>
        <w:t>9</w:t>
      </w:r>
      <w:proofErr w:type="gramEnd"/>
      <w:r w:rsidR="00AC02B0" w:rsidRPr="00361046">
        <w:rPr>
          <w:rFonts w:ascii="Times New Roman" w:hAnsi="Times New Roman"/>
          <w:b w:val="0"/>
          <w:bCs/>
          <w:lang w:eastAsia="pt-BR"/>
        </w:rPr>
        <w:t xml:space="preserve"> de outubro de 2014, e suas alterações posteriores;</w:t>
      </w:r>
    </w:p>
    <w:p w:rsidR="00E10FF6" w:rsidRPr="00E10FF6" w:rsidRDefault="00E10FF6" w:rsidP="00E10FF6">
      <w:pPr>
        <w:jc w:val="both"/>
        <w:rPr>
          <w:rFonts w:ascii="Times New Roman" w:hAnsi="Times New Roman"/>
          <w:b w:val="0"/>
          <w:bCs/>
          <w:color w:val="auto"/>
          <w:lang w:eastAsia="pt-BR"/>
        </w:rPr>
      </w:pPr>
      <w:r w:rsidRPr="00E10FF6">
        <w:rPr>
          <w:rFonts w:ascii="Times New Roman" w:hAnsi="Times New Roman"/>
          <w:b w:val="0"/>
          <w:bCs/>
          <w:color w:val="auto"/>
          <w:lang w:eastAsia="pt-BR"/>
        </w:rPr>
        <w:t>2</w:t>
      </w:r>
      <w:r>
        <w:rPr>
          <w:rFonts w:ascii="Times New Roman" w:hAnsi="Times New Roman"/>
          <w:b w:val="0"/>
          <w:bCs/>
          <w:color w:val="auto"/>
          <w:lang w:eastAsia="pt-BR"/>
        </w:rPr>
        <w:t xml:space="preserve"> -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 </w:t>
      </w:r>
      <w:r w:rsidR="00AC02B0" w:rsidRPr="00E10FF6">
        <w:rPr>
          <w:rFonts w:ascii="Times New Roman" w:hAnsi="Times New Roman"/>
          <w:b w:val="0"/>
          <w:bCs/>
          <w:color w:val="auto"/>
          <w:lang w:eastAsia="pt-BR"/>
        </w:rPr>
        <w:t>Esclarecer que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 </w:t>
      </w:r>
      <w:r w:rsidR="00AC02B0"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o </w:t>
      </w:r>
      <w:r w:rsidR="00952965"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inciso I do </w:t>
      </w:r>
      <w:r w:rsidR="00AC02B0"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art. 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2º da Resolução nº 91, de 2014, </w:t>
      </w:r>
      <w:r w:rsidR="009F7306">
        <w:rPr>
          <w:rFonts w:ascii="Times New Roman" w:hAnsi="Times New Roman"/>
          <w:b w:val="0"/>
          <w:bCs/>
          <w:color w:val="auto"/>
          <w:lang w:eastAsia="pt-BR"/>
        </w:rPr>
        <w:t xml:space="preserve">define que 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o </w:t>
      </w:r>
      <w:r w:rsidRPr="009F7306">
        <w:rPr>
          <w:rFonts w:ascii="Times New Roman" w:hAnsi="Times New Roman"/>
          <w:b w:val="0"/>
          <w:bCs/>
          <w:color w:val="auto"/>
          <w:u w:val="single"/>
          <w:lang w:eastAsia="pt-BR"/>
        </w:rPr>
        <w:t>requerimento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 </w:t>
      </w:r>
      <w:r w:rsidR="009F7306">
        <w:rPr>
          <w:rFonts w:ascii="Times New Roman" w:hAnsi="Times New Roman"/>
          <w:b w:val="0"/>
          <w:bCs/>
          <w:color w:val="auto"/>
          <w:lang w:eastAsia="pt-BR"/>
        </w:rPr>
        <w:t xml:space="preserve">de RRT </w:t>
      </w:r>
      <w:r w:rsidR="00AD7E0C" w:rsidRPr="00E10FF6">
        <w:rPr>
          <w:rFonts w:ascii="Times New Roman" w:hAnsi="Times New Roman"/>
          <w:b w:val="0"/>
          <w:bCs/>
          <w:color w:val="auto"/>
          <w:lang w:eastAsia="pt-BR"/>
        </w:rPr>
        <w:t>deve ser</w:t>
      </w:r>
      <w:r w:rsidR="00AD7E0C" w:rsidRPr="00DD1BE6">
        <w:rPr>
          <w:rFonts w:ascii="Times New Roman" w:hAnsi="Times New Roman"/>
          <w:bCs/>
          <w:color w:val="auto"/>
          <w:lang w:eastAsia="pt-BR"/>
        </w:rPr>
        <w:t xml:space="preserve"> </w:t>
      </w:r>
      <w:r w:rsidRPr="00DD1BE6">
        <w:rPr>
          <w:rFonts w:ascii="Times New Roman" w:hAnsi="Times New Roman"/>
          <w:bCs/>
          <w:color w:val="auto"/>
          <w:u w:val="single"/>
          <w:lang w:eastAsia="pt-BR"/>
        </w:rPr>
        <w:t>cadastrado</w:t>
      </w:r>
      <w:r w:rsidRPr="009F7306">
        <w:rPr>
          <w:rFonts w:ascii="Times New Roman" w:hAnsi="Times New Roman"/>
          <w:b w:val="0"/>
          <w:bCs/>
          <w:color w:val="auto"/>
          <w:lang w:eastAsia="pt-BR"/>
        </w:rPr>
        <w:t xml:space="preserve"> 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no SICCAU </w:t>
      </w:r>
      <w:r w:rsidR="00AC02B0"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até </w:t>
      </w:r>
      <w:r w:rsidR="00AD7E0C"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o dia ANTERIOR ao </w:t>
      </w:r>
      <w:r w:rsidR="00952965"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do </w:t>
      </w:r>
      <w:r w:rsidR="00AC02B0" w:rsidRPr="00E10FF6">
        <w:rPr>
          <w:rFonts w:ascii="Times New Roman" w:hAnsi="Times New Roman"/>
          <w:b w:val="0"/>
          <w:bCs/>
          <w:color w:val="auto"/>
          <w:lang w:eastAsia="pt-BR"/>
        </w:rPr>
        <w:t>dia de início da atividade</w:t>
      </w:r>
      <w:r w:rsidR="00AD7E0C" w:rsidRPr="00E10FF6">
        <w:rPr>
          <w:rFonts w:ascii="Times New Roman" w:hAnsi="Times New Roman"/>
          <w:b w:val="0"/>
          <w:bCs/>
          <w:color w:val="auto"/>
          <w:lang w:eastAsia="pt-BR"/>
        </w:rPr>
        <w:t>, para que não caracterize RRT extemporâneo (fora do prazo obrigatório);</w:t>
      </w:r>
    </w:p>
    <w:p w:rsidR="009B758D" w:rsidRPr="000D12C0" w:rsidRDefault="00E10FF6" w:rsidP="000D12C0">
      <w:pPr>
        <w:jc w:val="both"/>
        <w:rPr>
          <w:rFonts w:ascii="Times New Roman" w:hAnsi="Times New Roman"/>
          <w:b w:val="0"/>
          <w:bCs/>
          <w:color w:val="auto"/>
          <w:lang w:eastAsia="pt-BR"/>
        </w:rPr>
      </w:pPr>
      <w:r>
        <w:rPr>
          <w:rFonts w:ascii="Times New Roman" w:hAnsi="Times New Roman"/>
          <w:b w:val="0"/>
          <w:bCs/>
          <w:color w:val="auto"/>
          <w:lang w:eastAsia="pt-BR"/>
        </w:rPr>
        <w:t xml:space="preserve">3 - 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>Informar que</w:t>
      </w:r>
      <w:r w:rsidR="00DD1BE6">
        <w:rPr>
          <w:rFonts w:ascii="Times New Roman" w:hAnsi="Times New Roman"/>
          <w:b w:val="0"/>
          <w:bCs/>
          <w:color w:val="auto"/>
          <w:lang w:eastAsia="pt-BR"/>
        </w:rPr>
        <w:t>,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 </w:t>
      </w:r>
      <w:r>
        <w:rPr>
          <w:rFonts w:ascii="Times New Roman" w:hAnsi="Times New Roman"/>
          <w:b w:val="0"/>
          <w:bCs/>
          <w:color w:val="auto"/>
          <w:lang w:eastAsia="pt-BR"/>
        </w:rPr>
        <w:t xml:space="preserve">para </w:t>
      </w:r>
      <w:r w:rsidRPr="00DD1BE6">
        <w:rPr>
          <w:rFonts w:ascii="Times New Roman" w:hAnsi="Times New Roman"/>
          <w:bCs/>
          <w:color w:val="auto"/>
          <w:u w:val="single"/>
          <w:lang w:eastAsia="pt-BR"/>
        </w:rPr>
        <w:t>efetuar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 xml:space="preserve"> o RRT no CAU</w:t>
      </w:r>
      <w:r>
        <w:rPr>
          <w:rFonts w:ascii="Times New Roman" w:hAnsi="Times New Roman"/>
          <w:b w:val="0"/>
          <w:bCs/>
          <w:color w:val="auto"/>
          <w:lang w:eastAsia="pt-BR"/>
        </w:rPr>
        <w:t>, nos termos d</w:t>
      </w:r>
      <w:r w:rsidR="009F7306">
        <w:rPr>
          <w:rFonts w:ascii="Times New Roman" w:hAnsi="Times New Roman"/>
          <w:b w:val="0"/>
          <w:bCs/>
          <w:color w:val="auto"/>
          <w:lang w:eastAsia="pt-BR"/>
        </w:rPr>
        <w:t>o art. 48 d</w:t>
      </w:r>
      <w:r>
        <w:rPr>
          <w:rFonts w:ascii="Times New Roman" w:hAnsi="Times New Roman"/>
          <w:b w:val="0"/>
          <w:bCs/>
          <w:color w:val="auto"/>
          <w:lang w:eastAsia="pt-BR"/>
        </w:rPr>
        <w:t>a Lei 12.3</w:t>
      </w:r>
      <w:r w:rsidR="009F7306">
        <w:rPr>
          <w:rFonts w:ascii="Times New Roman" w:hAnsi="Times New Roman"/>
          <w:b w:val="0"/>
          <w:bCs/>
          <w:color w:val="auto"/>
          <w:lang w:eastAsia="pt-BR"/>
        </w:rPr>
        <w:t>78/2010 e da Resolução CAU/BR nº91/2014</w:t>
      </w:r>
      <w:r>
        <w:rPr>
          <w:rFonts w:ascii="Times New Roman" w:hAnsi="Times New Roman"/>
          <w:b w:val="0"/>
          <w:bCs/>
          <w:color w:val="auto"/>
          <w:lang w:eastAsia="pt-BR"/>
        </w:rPr>
        <w:t xml:space="preserve">, é necessário o prévio pagamento da </w:t>
      </w:r>
      <w:r w:rsidRPr="00E10FF6">
        <w:rPr>
          <w:rFonts w:ascii="Times New Roman" w:hAnsi="Times New Roman"/>
          <w:b w:val="0"/>
          <w:bCs/>
          <w:color w:val="auto"/>
          <w:lang w:eastAsia="pt-BR"/>
        </w:rPr>
        <w:t>taxa</w:t>
      </w:r>
      <w:r>
        <w:rPr>
          <w:rFonts w:ascii="Times New Roman" w:hAnsi="Times New Roman"/>
          <w:b w:val="0"/>
          <w:bCs/>
          <w:color w:val="auto"/>
          <w:lang w:eastAsia="pt-BR"/>
        </w:rPr>
        <w:t xml:space="preserve"> de RRT</w:t>
      </w:r>
      <w:r w:rsidR="009F7306">
        <w:rPr>
          <w:rFonts w:ascii="Times New Roman" w:hAnsi="Times New Roman"/>
          <w:b w:val="0"/>
          <w:bCs/>
          <w:color w:val="auto"/>
          <w:lang w:eastAsia="pt-BR"/>
        </w:rPr>
        <w:t>;</w:t>
      </w:r>
    </w:p>
    <w:p w:rsidR="00E10FF6" w:rsidRDefault="000D12C0" w:rsidP="004D36CE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4</w:t>
      </w:r>
      <w:r w:rsidR="00E10FF6">
        <w:rPr>
          <w:rFonts w:ascii="Times New Roman" w:hAnsi="Times New Roman"/>
          <w:b w:val="0"/>
          <w:bCs/>
          <w:lang w:eastAsia="pt-BR"/>
        </w:rPr>
        <w:t xml:space="preserve"> - </w:t>
      </w:r>
      <w:r w:rsidR="00E10FF6" w:rsidRPr="00580E01">
        <w:rPr>
          <w:rFonts w:ascii="Times New Roman" w:hAnsi="Times New Roman"/>
          <w:b w:val="0"/>
          <w:bCs/>
          <w:lang w:eastAsia="pt-BR"/>
        </w:rPr>
        <w:t xml:space="preserve">Recomendar </w:t>
      </w:r>
      <w:r w:rsidR="004D36CE">
        <w:rPr>
          <w:rFonts w:ascii="Times New Roman" w:hAnsi="Times New Roman"/>
          <w:b w:val="0"/>
          <w:bCs/>
          <w:lang w:eastAsia="pt-BR"/>
        </w:rPr>
        <w:t xml:space="preserve">que as equipes de </w:t>
      </w:r>
      <w:r w:rsidR="00E10FF6">
        <w:rPr>
          <w:rFonts w:ascii="Times New Roman" w:hAnsi="Times New Roman"/>
          <w:b w:val="0"/>
          <w:bCs/>
          <w:lang w:eastAsia="pt-BR"/>
        </w:rPr>
        <w:t>atendimento</w:t>
      </w:r>
      <w:r w:rsidR="004D36CE">
        <w:rPr>
          <w:rFonts w:ascii="Times New Roman" w:hAnsi="Times New Roman"/>
          <w:b w:val="0"/>
          <w:bCs/>
          <w:lang w:eastAsia="pt-BR"/>
        </w:rPr>
        <w:t xml:space="preserve"> e técnica do CAU/RS, e dos demais CAU/UF, informem e divulguem a</w:t>
      </w:r>
      <w:r w:rsidR="00E10FF6" w:rsidRPr="00580E01">
        <w:rPr>
          <w:rFonts w:ascii="Times New Roman" w:hAnsi="Times New Roman"/>
          <w:b w:val="0"/>
          <w:bCs/>
          <w:lang w:eastAsia="pt-BR"/>
        </w:rPr>
        <w:t>os profissionais as</w:t>
      </w:r>
      <w:r w:rsidR="00E10FF6">
        <w:rPr>
          <w:rFonts w:ascii="Times New Roman" w:hAnsi="Times New Roman"/>
          <w:b w:val="0"/>
          <w:bCs/>
          <w:lang w:eastAsia="pt-BR"/>
        </w:rPr>
        <w:t xml:space="preserve"> condições </w:t>
      </w:r>
      <w:r w:rsidR="00E10FF6" w:rsidRPr="00580E01">
        <w:rPr>
          <w:rFonts w:ascii="Times New Roman" w:hAnsi="Times New Roman"/>
          <w:b w:val="0"/>
          <w:bCs/>
          <w:lang w:eastAsia="pt-BR"/>
        </w:rPr>
        <w:t xml:space="preserve">de tempestividade </w:t>
      </w:r>
      <w:r w:rsidR="004D36CE">
        <w:rPr>
          <w:rFonts w:ascii="Times New Roman" w:hAnsi="Times New Roman"/>
          <w:b w:val="0"/>
          <w:bCs/>
          <w:lang w:eastAsia="pt-BR"/>
        </w:rPr>
        <w:t>e</w:t>
      </w:r>
      <w:r w:rsidR="00E10FF6">
        <w:rPr>
          <w:rFonts w:ascii="Times New Roman" w:hAnsi="Times New Roman"/>
          <w:b w:val="0"/>
          <w:bCs/>
          <w:lang w:eastAsia="pt-BR"/>
        </w:rPr>
        <w:t xml:space="preserve"> regras de prazos </w:t>
      </w:r>
      <w:r w:rsidR="00E10FF6" w:rsidRPr="00580E01">
        <w:rPr>
          <w:rFonts w:ascii="Times New Roman" w:hAnsi="Times New Roman"/>
          <w:b w:val="0"/>
          <w:bCs/>
          <w:lang w:eastAsia="pt-BR"/>
        </w:rPr>
        <w:t xml:space="preserve">para </w:t>
      </w:r>
      <w:r w:rsidR="00E10FF6">
        <w:rPr>
          <w:rFonts w:ascii="Times New Roman" w:hAnsi="Times New Roman"/>
          <w:b w:val="0"/>
          <w:bCs/>
          <w:lang w:eastAsia="pt-BR"/>
        </w:rPr>
        <w:t>cadastr</w:t>
      </w:r>
      <w:r w:rsidR="004D36CE">
        <w:rPr>
          <w:rFonts w:ascii="Times New Roman" w:hAnsi="Times New Roman"/>
          <w:b w:val="0"/>
          <w:bCs/>
          <w:lang w:eastAsia="pt-BR"/>
        </w:rPr>
        <w:t>o d</w:t>
      </w:r>
      <w:r w:rsidR="00E10FF6">
        <w:rPr>
          <w:rFonts w:ascii="Times New Roman" w:hAnsi="Times New Roman"/>
          <w:b w:val="0"/>
          <w:bCs/>
          <w:lang w:eastAsia="pt-BR"/>
        </w:rPr>
        <w:t xml:space="preserve">o requerimento de RRT no SICCAU e </w:t>
      </w:r>
      <w:r w:rsidR="00E0633B">
        <w:rPr>
          <w:rFonts w:ascii="Times New Roman" w:hAnsi="Times New Roman"/>
          <w:b w:val="0"/>
          <w:bCs/>
          <w:lang w:eastAsia="pt-BR"/>
        </w:rPr>
        <w:t xml:space="preserve">para </w:t>
      </w:r>
      <w:r w:rsidR="00E10FF6" w:rsidRPr="00580E01">
        <w:rPr>
          <w:rFonts w:ascii="Times New Roman" w:hAnsi="Times New Roman"/>
          <w:b w:val="0"/>
          <w:bCs/>
          <w:lang w:eastAsia="pt-BR"/>
        </w:rPr>
        <w:t>efe</w:t>
      </w:r>
      <w:r w:rsidR="004D36CE">
        <w:rPr>
          <w:rFonts w:ascii="Times New Roman" w:hAnsi="Times New Roman"/>
          <w:b w:val="0"/>
          <w:bCs/>
          <w:lang w:eastAsia="pt-BR"/>
        </w:rPr>
        <w:t>tuação d</w:t>
      </w:r>
      <w:r w:rsidR="00E10FF6">
        <w:rPr>
          <w:rFonts w:ascii="Times New Roman" w:hAnsi="Times New Roman"/>
          <w:b w:val="0"/>
          <w:bCs/>
          <w:lang w:eastAsia="pt-BR"/>
        </w:rPr>
        <w:t>o referido registro no CAU;</w:t>
      </w:r>
    </w:p>
    <w:p w:rsidR="004D36CE" w:rsidRPr="004D36CE" w:rsidRDefault="004D36CE" w:rsidP="004D36CE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586A4B" w:rsidRDefault="004D36CE" w:rsidP="00882B4C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5</w:t>
      </w:r>
      <w:r w:rsidR="00361046">
        <w:rPr>
          <w:rFonts w:ascii="Times New Roman" w:hAnsi="Times New Roman"/>
          <w:b w:val="0"/>
          <w:bCs/>
          <w:lang w:eastAsia="pt-BR"/>
        </w:rPr>
        <w:t xml:space="preserve"> - </w:t>
      </w:r>
      <w:r w:rsidR="00586A4B">
        <w:rPr>
          <w:rFonts w:ascii="Times New Roman" w:hAnsi="Times New Roman"/>
          <w:b w:val="0"/>
          <w:bCs/>
          <w:lang w:eastAsia="pt-BR"/>
        </w:rPr>
        <w:t xml:space="preserve">Solicitar à Presidência que envie </w:t>
      </w:r>
      <w:r w:rsidR="00DD1BE6">
        <w:rPr>
          <w:rFonts w:ascii="Times New Roman" w:hAnsi="Times New Roman"/>
          <w:b w:val="0"/>
          <w:bCs/>
          <w:lang w:eastAsia="pt-BR"/>
        </w:rPr>
        <w:t xml:space="preserve">esta Deliberação </w:t>
      </w:r>
      <w:r w:rsidR="00586A4B">
        <w:rPr>
          <w:rFonts w:ascii="Times New Roman" w:hAnsi="Times New Roman"/>
          <w:b w:val="0"/>
          <w:bCs/>
          <w:lang w:eastAsia="pt-BR"/>
        </w:rPr>
        <w:t>à Assessoria de Comunica</w:t>
      </w:r>
      <w:r w:rsidR="00DD1BE6">
        <w:rPr>
          <w:rFonts w:ascii="Times New Roman" w:hAnsi="Times New Roman"/>
          <w:b w:val="0"/>
          <w:bCs/>
          <w:lang w:eastAsia="pt-BR"/>
        </w:rPr>
        <w:t xml:space="preserve">ção do CAU/BR </w:t>
      </w:r>
      <w:r w:rsidR="00586A4B">
        <w:rPr>
          <w:rFonts w:ascii="Times New Roman" w:hAnsi="Times New Roman"/>
          <w:b w:val="0"/>
          <w:bCs/>
          <w:lang w:eastAsia="pt-BR"/>
        </w:rPr>
        <w:t>para que seja</w:t>
      </w:r>
      <w:r w:rsidR="00361046">
        <w:rPr>
          <w:rFonts w:ascii="Times New Roman" w:hAnsi="Times New Roman"/>
          <w:b w:val="0"/>
          <w:bCs/>
          <w:lang w:eastAsia="pt-BR"/>
        </w:rPr>
        <w:t>m realizada</w:t>
      </w:r>
      <w:r w:rsidR="00FA4957">
        <w:rPr>
          <w:rFonts w:ascii="Times New Roman" w:hAnsi="Times New Roman"/>
          <w:b w:val="0"/>
          <w:bCs/>
          <w:lang w:eastAsia="pt-BR"/>
        </w:rPr>
        <w:t>s</w:t>
      </w:r>
      <w:r w:rsidR="00361046">
        <w:rPr>
          <w:rFonts w:ascii="Times New Roman" w:hAnsi="Times New Roman"/>
          <w:b w:val="0"/>
          <w:bCs/>
          <w:lang w:eastAsia="pt-BR"/>
        </w:rPr>
        <w:t xml:space="preserve"> </w:t>
      </w:r>
      <w:r w:rsidR="00E0633B">
        <w:rPr>
          <w:rFonts w:ascii="Times New Roman" w:hAnsi="Times New Roman"/>
          <w:b w:val="0"/>
          <w:bCs/>
          <w:lang w:eastAsia="pt-BR"/>
        </w:rPr>
        <w:t xml:space="preserve">campanhas publicitárias, sob a orientação da CEP-CAU/BR, </w:t>
      </w:r>
      <w:r w:rsidR="00361046">
        <w:rPr>
          <w:rFonts w:ascii="Times New Roman" w:hAnsi="Times New Roman"/>
          <w:b w:val="0"/>
          <w:bCs/>
          <w:lang w:eastAsia="pt-BR"/>
        </w:rPr>
        <w:t xml:space="preserve">com o objetivo de </w:t>
      </w:r>
      <w:r w:rsidR="00E0633B">
        <w:rPr>
          <w:rFonts w:ascii="Times New Roman" w:hAnsi="Times New Roman"/>
          <w:b w:val="0"/>
          <w:bCs/>
          <w:lang w:eastAsia="pt-BR"/>
        </w:rPr>
        <w:t>divulgar a</w:t>
      </w:r>
      <w:r w:rsidR="00586A4B">
        <w:rPr>
          <w:rFonts w:ascii="Times New Roman" w:hAnsi="Times New Roman"/>
          <w:b w:val="0"/>
          <w:bCs/>
          <w:lang w:eastAsia="pt-BR"/>
        </w:rPr>
        <w:t xml:space="preserve">os arquitetos e urbanistas as condições de tempestividade </w:t>
      </w:r>
      <w:r w:rsidR="00DD1BE6">
        <w:rPr>
          <w:rFonts w:ascii="Times New Roman" w:hAnsi="Times New Roman"/>
          <w:b w:val="0"/>
          <w:bCs/>
          <w:lang w:eastAsia="pt-BR"/>
        </w:rPr>
        <w:t xml:space="preserve">e prazos </w:t>
      </w:r>
      <w:r w:rsidR="00586A4B">
        <w:rPr>
          <w:rFonts w:ascii="Times New Roman" w:hAnsi="Times New Roman"/>
          <w:b w:val="0"/>
          <w:bCs/>
          <w:lang w:eastAsia="pt-BR"/>
        </w:rPr>
        <w:t>para</w:t>
      </w:r>
      <w:r w:rsidR="00DD1BE6">
        <w:rPr>
          <w:rFonts w:ascii="Times New Roman" w:hAnsi="Times New Roman"/>
          <w:b w:val="0"/>
          <w:bCs/>
          <w:lang w:eastAsia="pt-BR"/>
        </w:rPr>
        <w:t xml:space="preserve"> realizar</w:t>
      </w:r>
      <w:r w:rsidR="00586A4B">
        <w:rPr>
          <w:rFonts w:ascii="Times New Roman" w:hAnsi="Times New Roman"/>
          <w:b w:val="0"/>
          <w:bCs/>
          <w:lang w:eastAsia="pt-BR"/>
        </w:rPr>
        <w:t xml:space="preserve"> o RRT e </w:t>
      </w:r>
      <w:r w:rsidR="00DD1BE6">
        <w:rPr>
          <w:rFonts w:ascii="Times New Roman" w:hAnsi="Times New Roman"/>
          <w:b w:val="0"/>
          <w:bCs/>
          <w:lang w:eastAsia="pt-BR"/>
        </w:rPr>
        <w:t xml:space="preserve">informar </w:t>
      </w:r>
      <w:r w:rsidR="00586A4B">
        <w:rPr>
          <w:rFonts w:ascii="Times New Roman" w:hAnsi="Times New Roman"/>
          <w:b w:val="0"/>
          <w:bCs/>
          <w:lang w:eastAsia="pt-BR"/>
        </w:rPr>
        <w:t>sobre a diferença entre cadast</w:t>
      </w:r>
      <w:r w:rsidR="00E0633B">
        <w:rPr>
          <w:rFonts w:ascii="Times New Roman" w:hAnsi="Times New Roman"/>
          <w:b w:val="0"/>
          <w:bCs/>
          <w:lang w:eastAsia="pt-BR"/>
        </w:rPr>
        <w:t>r</w:t>
      </w:r>
      <w:r w:rsidR="00586A4B">
        <w:rPr>
          <w:rFonts w:ascii="Times New Roman" w:hAnsi="Times New Roman"/>
          <w:b w:val="0"/>
          <w:bCs/>
          <w:lang w:eastAsia="pt-BR"/>
        </w:rPr>
        <w:t>ar</w:t>
      </w:r>
      <w:r w:rsidR="00E0633B">
        <w:rPr>
          <w:rFonts w:ascii="Times New Roman" w:hAnsi="Times New Roman"/>
          <w:b w:val="0"/>
          <w:bCs/>
          <w:lang w:eastAsia="pt-BR"/>
        </w:rPr>
        <w:t xml:space="preserve"> o requerimento no SICCAU </w:t>
      </w:r>
      <w:r w:rsidR="00586A4B">
        <w:rPr>
          <w:rFonts w:ascii="Times New Roman" w:hAnsi="Times New Roman"/>
          <w:b w:val="0"/>
          <w:bCs/>
          <w:lang w:eastAsia="pt-BR"/>
        </w:rPr>
        <w:t xml:space="preserve">e efetuar o </w:t>
      </w:r>
      <w:r w:rsidR="00361046">
        <w:rPr>
          <w:rFonts w:ascii="Times New Roman" w:hAnsi="Times New Roman"/>
          <w:b w:val="0"/>
          <w:bCs/>
          <w:lang w:eastAsia="pt-BR"/>
        </w:rPr>
        <w:t>RR</w:t>
      </w:r>
      <w:r w:rsidR="00E0633B">
        <w:rPr>
          <w:rFonts w:ascii="Times New Roman" w:hAnsi="Times New Roman"/>
          <w:b w:val="0"/>
          <w:bCs/>
          <w:lang w:eastAsia="pt-BR"/>
        </w:rPr>
        <w:t xml:space="preserve">T no </w:t>
      </w:r>
      <w:r w:rsidR="00361046">
        <w:rPr>
          <w:rFonts w:ascii="Times New Roman" w:hAnsi="Times New Roman"/>
          <w:b w:val="0"/>
          <w:bCs/>
          <w:lang w:eastAsia="pt-BR"/>
        </w:rPr>
        <w:t>CAU</w:t>
      </w:r>
      <w:r w:rsidR="00E0633B">
        <w:rPr>
          <w:rFonts w:ascii="Times New Roman" w:hAnsi="Times New Roman"/>
          <w:b w:val="0"/>
          <w:bCs/>
          <w:lang w:eastAsia="pt-BR"/>
        </w:rPr>
        <w:t>;</w:t>
      </w:r>
    </w:p>
    <w:p w:rsidR="00580E01" w:rsidRDefault="00580E01" w:rsidP="00580E01">
      <w:pPr>
        <w:spacing w:after="0" w:line="240" w:lineRule="auto"/>
        <w:ind w:left="-10"/>
        <w:jc w:val="both"/>
        <w:rPr>
          <w:rFonts w:ascii="Times New Roman" w:hAnsi="Times New Roman"/>
          <w:b w:val="0"/>
          <w:bCs/>
          <w:lang w:eastAsia="pt-BR"/>
        </w:rPr>
      </w:pPr>
    </w:p>
    <w:p w:rsidR="00F3263E" w:rsidRDefault="00E0633B" w:rsidP="00E0633B">
      <w:pPr>
        <w:spacing w:after="0" w:line="240" w:lineRule="auto"/>
        <w:ind w:left="-1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6</w:t>
      </w:r>
      <w:r w:rsidR="00361046">
        <w:rPr>
          <w:rFonts w:ascii="Times New Roman" w:hAnsi="Times New Roman"/>
          <w:b w:val="0"/>
          <w:bCs/>
          <w:lang w:eastAsia="pt-BR"/>
        </w:rPr>
        <w:t xml:space="preserve"> - </w:t>
      </w:r>
      <w:r w:rsidR="000D23BC">
        <w:rPr>
          <w:rFonts w:ascii="Times New Roman" w:hAnsi="Times New Roman"/>
          <w:b w:val="0"/>
          <w:bCs/>
          <w:lang w:eastAsia="pt-BR"/>
        </w:rPr>
        <w:t xml:space="preserve">Encaminhar esta Deliberação </w:t>
      </w:r>
      <w:r w:rsidR="00361046">
        <w:rPr>
          <w:rFonts w:ascii="Times New Roman" w:hAnsi="Times New Roman"/>
          <w:b w:val="0"/>
          <w:bCs/>
          <w:lang w:eastAsia="pt-BR"/>
        </w:rPr>
        <w:t>à</w:t>
      </w:r>
      <w:r w:rsidR="00D739D0">
        <w:rPr>
          <w:rFonts w:ascii="Times New Roman" w:hAnsi="Times New Roman"/>
          <w:b w:val="0"/>
          <w:bCs/>
          <w:lang w:eastAsia="pt-BR"/>
        </w:rPr>
        <w:t xml:space="preserve"> Gerê</w:t>
      </w:r>
      <w:r w:rsidR="000D23BC">
        <w:rPr>
          <w:rFonts w:ascii="Times New Roman" w:hAnsi="Times New Roman"/>
          <w:b w:val="0"/>
          <w:bCs/>
          <w:lang w:eastAsia="pt-BR"/>
        </w:rPr>
        <w:t>ncia do CSC</w:t>
      </w:r>
      <w:r w:rsidR="00D739D0">
        <w:rPr>
          <w:rFonts w:ascii="Times New Roman" w:hAnsi="Times New Roman"/>
          <w:b w:val="0"/>
          <w:bCs/>
          <w:lang w:eastAsia="pt-BR"/>
        </w:rPr>
        <w:t xml:space="preserve"> por meio do protocolo SICCAU 1316416</w:t>
      </w:r>
      <w:r w:rsidR="00361046">
        <w:rPr>
          <w:rFonts w:ascii="Times New Roman" w:hAnsi="Times New Roman"/>
          <w:b w:val="0"/>
          <w:bCs/>
          <w:lang w:eastAsia="pt-BR"/>
        </w:rPr>
        <w:t>, juntamente com o parecer jurídico</w:t>
      </w:r>
      <w:r w:rsidR="00D739D0">
        <w:rPr>
          <w:rFonts w:ascii="Times New Roman" w:hAnsi="Times New Roman"/>
          <w:b w:val="0"/>
          <w:bCs/>
          <w:lang w:eastAsia="pt-BR"/>
        </w:rPr>
        <w:t xml:space="preserve"> do protocolo 1321623,</w:t>
      </w:r>
      <w:r w:rsidR="000D23BC">
        <w:rPr>
          <w:rFonts w:ascii="Times New Roman" w:hAnsi="Times New Roman"/>
          <w:b w:val="0"/>
          <w:bCs/>
          <w:lang w:eastAsia="pt-BR"/>
        </w:rPr>
        <w:t xml:space="preserve"> para en</w:t>
      </w:r>
      <w:r>
        <w:rPr>
          <w:rFonts w:ascii="Times New Roman" w:hAnsi="Times New Roman"/>
          <w:b w:val="0"/>
          <w:bCs/>
          <w:lang w:eastAsia="pt-BR"/>
        </w:rPr>
        <w:t xml:space="preserve">vio à coordenação técnica do SICCAU </w:t>
      </w:r>
      <w:r w:rsidR="000D23BC">
        <w:rPr>
          <w:rFonts w:ascii="Times New Roman" w:hAnsi="Times New Roman"/>
          <w:b w:val="0"/>
          <w:bCs/>
          <w:lang w:eastAsia="pt-BR"/>
        </w:rPr>
        <w:t xml:space="preserve">para </w:t>
      </w:r>
      <w:r w:rsidR="000D23BC" w:rsidRPr="00E0633B">
        <w:rPr>
          <w:rFonts w:ascii="Times New Roman" w:hAnsi="Times New Roman" w:cs="Times New Roman"/>
          <w:b w:val="0"/>
          <w:bCs/>
          <w:color w:val="auto"/>
          <w:lang w:eastAsia="pt-BR"/>
        </w:rPr>
        <w:t>conhecimento e ap</w:t>
      </w:r>
      <w:r w:rsidR="00DD1BE6">
        <w:rPr>
          <w:rFonts w:ascii="Times New Roman" w:hAnsi="Times New Roman" w:cs="Times New Roman"/>
          <w:b w:val="0"/>
          <w:bCs/>
          <w:color w:val="auto"/>
          <w:lang w:eastAsia="pt-BR"/>
        </w:rPr>
        <w:t>licação,</w:t>
      </w:r>
      <w:r w:rsidRPr="00E0633B">
        <w:rPr>
          <w:rFonts w:ascii="Times New Roman" w:hAnsi="Times New Roman" w:cs="Times New Roman"/>
          <w:b w:val="0"/>
          <w:bCs/>
          <w:color w:val="auto"/>
          <w:lang w:eastAsia="pt-BR"/>
        </w:rPr>
        <w:t xml:space="preserve"> e para </w:t>
      </w:r>
      <w:r w:rsidR="00DD1BE6">
        <w:rPr>
          <w:rFonts w:ascii="Times New Roman" w:hAnsi="Times New Roman" w:cs="Times New Roman"/>
          <w:b w:val="0"/>
          <w:bCs/>
          <w:color w:val="auto"/>
          <w:lang w:eastAsia="pt-BR"/>
        </w:rPr>
        <w:t>envio de</w:t>
      </w:r>
      <w:r w:rsidRPr="00E0633B">
        <w:rPr>
          <w:rFonts w:ascii="Times New Roman" w:hAnsi="Times New Roman" w:cs="Times New Roman"/>
          <w:b w:val="0"/>
          <w:bCs/>
          <w:color w:val="auto"/>
          <w:lang w:eastAsia="pt-BR"/>
        </w:rPr>
        <w:t xml:space="preserve"> resposta ao protocolo </w:t>
      </w:r>
      <w:r w:rsidR="00F3263E" w:rsidRPr="00E0633B">
        <w:rPr>
          <w:rFonts w:ascii="Times New Roman" w:hAnsi="Times New Roman" w:cs="Times New Roman"/>
          <w:b w:val="0"/>
          <w:bCs/>
          <w:color w:val="auto"/>
          <w:lang w:eastAsia="pt-BR"/>
        </w:rPr>
        <w:t xml:space="preserve">SGI </w:t>
      </w:r>
      <w:r w:rsidRPr="00E0633B">
        <w:rPr>
          <w:rFonts w:ascii="Times New Roman" w:hAnsi="Times New Roman" w:cs="Times New Roman"/>
          <w:b w:val="0"/>
          <w:color w:val="auto"/>
        </w:rPr>
        <w:t>nº 2021.000263</w:t>
      </w:r>
      <w:r>
        <w:rPr>
          <w:rFonts w:ascii="Times New Roman" w:hAnsi="Times New Roman" w:cs="Times New Roman"/>
          <w:b w:val="0"/>
          <w:color w:val="auto"/>
        </w:rPr>
        <w:t>;</w:t>
      </w:r>
    </w:p>
    <w:p w:rsidR="00F3263E" w:rsidRDefault="00F3263E" w:rsidP="00E0633B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BA1357" w:rsidRPr="00952965" w:rsidRDefault="00E0633B" w:rsidP="00952965">
      <w:pPr>
        <w:spacing w:after="0" w:line="240" w:lineRule="auto"/>
        <w:ind w:left="-1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7</w:t>
      </w:r>
      <w:r w:rsidR="00580E01" w:rsidRPr="00E10FDD">
        <w:rPr>
          <w:rFonts w:ascii="Times New Roman" w:hAnsi="Times New Roman"/>
          <w:b w:val="0"/>
          <w:lang w:eastAsia="pt-BR"/>
        </w:rPr>
        <w:t xml:space="preserve"> - </w:t>
      </w:r>
      <w:r w:rsidR="00BC30C5" w:rsidRPr="00E10FD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E10FD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275"/>
        <w:gridCol w:w="4958"/>
        <w:gridCol w:w="2272"/>
      </w:tblGrid>
      <w:tr w:rsidR="00BA1357" w:rsidRPr="00D74093" w:rsidTr="00BA135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4093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4093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A1357" w:rsidRPr="000D23BC" w:rsidTr="00BA135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0D23BC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A1357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0D23BC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>SGM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BC" w:rsidRPr="000D23BC" w:rsidRDefault="000D23BC" w:rsidP="00D739D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>- T</w:t>
            </w:r>
            <w:r w:rsidR="00BA1357" w:rsidRPr="000D23BC">
              <w:rPr>
                <w:rFonts w:ascii="Times New Roman" w:hAnsi="Times New Roman"/>
                <w:b w:val="0"/>
                <w:bCs/>
                <w:lang w:eastAsia="pt-BR"/>
              </w:rPr>
              <w:t>ramitar o</w:t>
            </w:r>
            <w:r w:rsidR="00361046">
              <w:rPr>
                <w:rFonts w:ascii="Times New Roman" w:hAnsi="Times New Roman"/>
                <w:b w:val="0"/>
                <w:bCs/>
                <w:lang w:eastAsia="pt-BR"/>
              </w:rPr>
              <w:t>s</w:t>
            </w:r>
            <w:r w:rsidR="00D739D0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="00D739D0">
              <w:rPr>
                <w:rFonts w:ascii="Times New Roman" w:hAnsi="Times New Roman"/>
                <w:b w:val="0"/>
                <w:bCs/>
                <w:lang w:eastAsia="pt-BR"/>
              </w:rPr>
              <w:t>3</w:t>
            </w:r>
            <w:proofErr w:type="gramEnd"/>
            <w:r w:rsidR="00BA1357"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 protocolo</w:t>
            </w:r>
            <w:r w:rsidR="00361046">
              <w:rPr>
                <w:rFonts w:ascii="Times New Roman" w:hAnsi="Times New Roman"/>
                <w:b w:val="0"/>
                <w:bCs/>
                <w:lang w:eastAsia="pt-BR"/>
              </w:rPr>
              <w:t>s</w:t>
            </w:r>
            <w:r w:rsidR="00BA1357"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 para Presidência</w:t>
            </w:r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 (p/ envio ao CAU/RS</w:t>
            </w:r>
            <w:r w:rsidR="00361046">
              <w:rPr>
                <w:rFonts w:ascii="Times New Roman" w:hAnsi="Times New Roman"/>
                <w:b w:val="0"/>
                <w:bCs/>
                <w:lang w:eastAsia="pt-BR"/>
              </w:rPr>
              <w:t>, à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ASSCOM</w:t>
            </w:r>
            <w:r w:rsidR="00D739D0">
              <w:rPr>
                <w:rFonts w:ascii="Times New Roman" w:hAnsi="Times New Roman"/>
                <w:b w:val="0"/>
                <w:bCs/>
                <w:lang w:eastAsia="pt-BR"/>
              </w:rPr>
              <w:t xml:space="preserve"> e à</w:t>
            </w:r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 GERCSC</w:t>
            </w:r>
            <w:r w:rsidR="00D739D0">
              <w:rPr>
                <w:rFonts w:ascii="Times New Roman" w:hAnsi="Times New Roman"/>
                <w:b w:val="0"/>
                <w:bCs/>
                <w:lang w:eastAsia="pt-BR"/>
              </w:rPr>
              <w:t>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0D23BC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Até </w:t>
            </w:r>
            <w:proofErr w:type="gramStart"/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>5</w:t>
            </w:r>
            <w:proofErr w:type="gramEnd"/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 dias do recebimento</w:t>
            </w:r>
          </w:p>
        </w:tc>
      </w:tr>
      <w:tr w:rsidR="00BA1357" w:rsidRPr="00BA1357" w:rsidTr="00BA135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0D23BC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0D23BC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D23BC">
              <w:rPr>
                <w:rFonts w:ascii="Times New Roman" w:hAnsi="Times New Roman"/>
                <w:b w:val="0"/>
                <w:bCs/>
                <w:lang w:eastAsia="pt-BR"/>
              </w:rPr>
              <w:t>Presidência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64FCF" w:rsidRDefault="00BA1357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- </w:t>
            </w:r>
            <w:r w:rsidR="000D23BC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Tram</w:t>
            </w:r>
            <w:r w:rsidR="00D739D0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itar o protocolo 1321623 para </w:t>
            </w:r>
            <w:r w:rsidR="000D23BC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CAU/RS</w:t>
            </w:r>
            <w:r w:rsidR="00D739D0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(em resposta);</w:t>
            </w:r>
          </w:p>
          <w:p w:rsidR="000D23BC" w:rsidRPr="00D64FCF" w:rsidRDefault="000D23BC" w:rsidP="0036104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- Tramitar novo protocolo para A</w:t>
            </w:r>
            <w:r w:rsidR="00D739D0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SSCOM (em</w:t>
            </w:r>
            <w:r w:rsidR="00952965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atendimento do </w:t>
            </w:r>
            <w:r w:rsidR="00D64FCF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item </w:t>
            </w:r>
            <w:proofErr w:type="gramStart"/>
            <w:r w:rsidR="00D64FCF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5</w:t>
            </w:r>
            <w:proofErr w:type="gramEnd"/>
            <w:r w:rsidR="00D739D0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); e</w:t>
            </w:r>
          </w:p>
          <w:p w:rsidR="00D739D0" w:rsidRPr="00D64FCF" w:rsidRDefault="00D739D0" w:rsidP="00D739D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- Tramitar o protocolo 1316416 para GERCSC (em</w:t>
            </w:r>
            <w:proofErr w:type="gramStart"/>
            <w:r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  </w:t>
            </w:r>
            <w:proofErr w:type="gramEnd"/>
            <w:r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atendimento </w:t>
            </w:r>
            <w:r w:rsidR="00952965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do </w:t>
            </w:r>
            <w:r w:rsidR="00D64FCF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item 6</w:t>
            </w:r>
            <w:r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0D23BC" w:rsidRDefault="000D23BC" w:rsidP="00BA135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Até 10</w:t>
            </w:r>
            <w:r w:rsidR="00BA1357" w:rsidRPr="000D23BC">
              <w:rPr>
                <w:rFonts w:ascii="Times New Roman" w:hAnsi="Times New Roman"/>
                <w:b w:val="0"/>
                <w:bCs/>
                <w:lang w:eastAsia="pt-BR"/>
              </w:rPr>
              <w:t xml:space="preserve"> dias do recebimento</w:t>
            </w:r>
          </w:p>
        </w:tc>
      </w:tr>
      <w:tr w:rsidR="00BA1357" w:rsidRPr="00D739D0" w:rsidTr="00BA135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357" w:rsidRPr="00D739D0" w:rsidRDefault="00BA1357" w:rsidP="00D739D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39D0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proofErr w:type="gramStart"/>
            <w:r w:rsidRPr="00D739D0">
              <w:rPr>
                <w:rFonts w:ascii="Times New Roman" w:hAnsi="Times New Roman"/>
                <w:b w:val="0"/>
                <w:bCs/>
                <w:lang w:eastAsia="pt-BR"/>
              </w:rPr>
              <w:t>3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39D0" w:rsidRDefault="000D23BC" w:rsidP="00D739D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39D0">
              <w:rPr>
                <w:rFonts w:ascii="Times New Roman" w:hAnsi="Times New Roman"/>
                <w:b w:val="0"/>
                <w:bCs/>
                <w:lang w:eastAsia="pt-BR"/>
              </w:rPr>
              <w:t>ASSCOM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64FCF" w:rsidRDefault="00BA1357" w:rsidP="00D739D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Realizar a </w:t>
            </w:r>
            <w:r w:rsidR="000D23BC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 xml:space="preserve">campanha e divulgação conforme solicitado no item </w:t>
            </w:r>
            <w:proofErr w:type="gramStart"/>
            <w:r w:rsidR="00D64FCF" w:rsidRPr="00D64FCF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5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57" w:rsidRPr="00D739D0" w:rsidRDefault="000D23BC" w:rsidP="00D739D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39D0">
              <w:rPr>
                <w:rFonts w:ascii="Times New Roman" w:hAnsi="Times New Roman"/>
                <w:b w:val="0"/>
                <w:bCs/>
                <w:lang w:eastAsia="pt-BR"/>
              </w:rPr>
              <w:t>Até 30</w:t>
            </w:r>
            <w:r w:rsidR="00BA1357" w:rsidRPr="00D739D0">
              <w:rPr>
                <w:rFonts w:ascii="Times New Roman" w:hAnsi="Times New Roman"/>
                <w:b w:val="0"/>
                <w:bCs/>
                <w:lang w:eastAsia="pt-BR"/>
              </w:rPr>
              <w:t xml:space="preserve"> dias do recebimento</w:t>
            </w:r>
          </w:p>
        </w:tc>
      </w:tr>
    </w:tbl>
    <w:p w:rsidR="008A3A8B" w:rsidRPr="00D739D0" w:rsidRDefault="008A3A8B" w:rsidP="00D739D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784E39" w:rsidRPr="00D739D0" w:rsidRDefault="00D64FCF" w:rsidP="00D739D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8</w:t>
      </w:r>
      <w:r w:rsidR="00D739D0">
        <w:rPr>
          <w:rFonts w:ascii="Times New Roman" w:hAnsi="Times New Roman"/>
          <w:b w:val="0"/>
          <w:lang w:eastAsia="pt-BR"/>
        </w:rPr>
        <w:t xml:space="preserve"> - </w:t>
      </w:r>
      <w:r w:rsidR="00BC30C5" w:rsidRPr="00D739D0">
        <w:rPr>
          <w:rFonts w:ascii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Pr="00D739D0" w:rsidRDefault="009F5860" w:rsidP="00D739D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Pr="00D739D0" w:rsidRDefault="00604026" w:rsidP="00D739D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739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="008A3A8B" w:rsidRPr="00D739D0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proofErr w:type="gramEnd"/>
      <w:r w:rsidRPr="00D739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1488D" w:rsidRPr="00D739D0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Pr="00D739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:rsidR="008A3A8B" w:rsidRDefault="008A3A8B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A3A8B" w:rsidRDefault="008A3A8B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D1BE6" w:rsidRDefault="00DD1BE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libri" w:hAnsi="Times New Roman" w:cs="Times New Roman"/>
          <w:color w:val="auto"/>
        </w:rPr>
        <w:t>PATRÍCIA SILVA LUZ DE MACEDO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  <w:r w:rsidRPr="000F2FAF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tab/>
      </w:r>
    </w:p>
    <w:p w:rsidR="00151FEA" w:rsidRDefault="00151FEA" w:rsidP="00151FE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auto"/>
          <w:spacing w:val="4"/>
        </w:rPr>
      </w:pPr>
    </w:p>
    <w:p w:rsidR="00DD1BE6" w:rsidRPr="000F2FAF" w:rsidRDefault="00DD1BE6" w:rsidP="00151FE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auto"/>
          <w:spacing w:val="4"/>
        </w:rPr>
      </w:pPr>
    </w:p>
    <w:p w:rsidR="00151FEA" w:rsidRPr="000F2FAF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0F2FAF">
        <w:rPr>
          <w:rFonts w:ascii="Times New Roman" w:eastAsia="Cambria" w:hAnsi="Times New Roman" w:cs="Times New Roman"/>
          <w:color w:val="000000"/>
        </w:rPr>
        <w:t>ANA CRISTINA LIMA B. DA SILVA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</w:r>
      <w:proofErr w:type="gramStart"/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____________________________________</w:t>
      </w:r>
      <w:proofErr w:type="gramEnd"/>
    </w:p>
    <w:p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:rsidR="002216BA" w:rsidRDefault="002216BA" w:rsidP="002216B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:rsidR="00DD1BE6" w:rsidRDefault="00DD1BE6" w:rsidP="002216B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</w:p>
    <w:p w:rsidR="002216BA" w:rsidRPr="000F2FAF" w:rsidRDefault="002216BA" w:rsidP="002216B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0F2FAF"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proofErr w:type="gramStart"/>
      <w:r>
        <w:rPr>
          <w:rFonts w:ascii="Times New Roman" w:eastAsia="Calibri" w:hAnsi="Times New Roman" w:cs="Times New Roman"/>
          <w:color w:val="auto"/>
        </w:rPr>
        <w:t>__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</w:t>
      </w:r>
      <w:proofErr w:type="gramEnd"/>
    </w:p>
    <w:p w:rsidR="00A42665" w:rsidRDefault="002216BA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:rsidR="00DD1BE6" w:rsidRDefault="00DD1BE6" w:rsidP="00DD1BE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lang w:eastAsia="pt-BR"/>
        </w:rPr>
      </w:pPr>
    </w:p>
    <w:p w:rsidR="00DD1BE6" w:rsidRDefault="00DD1BE6" w:rsidP="00DD1BE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auto"/>
          <w:lang w:eastAsia="pt-BR"/>
        </w:rPr>
      </w:pPr>
    </w:p>
    <w:p w:rsidR="00DD1BE6" w:rsidRPr="000F2FAF" w:rsidRDefault="00DD1BE6" w:rsidP="00DD1BE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>
        <w:rPr>
          <w:rFonts w:ascii="Times New Roman" w:eastAsia="Calibri" w:hAnsi="Times New Roman" w:cs="Times New Roman"/>
          <w:color w:val="auto"/>
          <w:lang w:eastAsia="pt-BR"/>
        </w:rPr>
        <w:t>ALICE DA SILVA RODRIGUES ROSAS</w:t>
      </w:r>
      <w:r>
        <w:rPr>
          <w:rFonts w:ascii="Times New Roman" w:eastAsia="Calibri" w:hAnsi="Times New Roman" w:cs="Times New Roman"/>
          <w:color w:val="auto"/>
          <w:lang w:eastAsia="pt-BR"/>
        </w:rPr>
        <w:tab/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:rsidR="00DD1BE6" w:rsidRPr="00A42665" w:rsidRDefault="00DD1BE6" w:rsidP="00DD1BE6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:rsidR="00DD1BE6" w:rsidRPr="00EC38D8" w:rsidRDefault="00DD1BE6" w:rsidP="00EC38D8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DD1BE6" w:rsidRPr="00EC38D8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F5" w:rsidRDefault="009236F5" w:rsidP="00783D72">
      <w:pPr>
        <w:spacing w:after="0" w:line="240" w:lineRule="auto"/>
      </w:pPr>
      <w:r>
        <w:separator/>
      </w:r>
    </w:p>
  </w:endnote>
  <w:endnote w:type="continuationSeparator" w:id="0">
    <w:p w:rsidR="009236F5" w:rsidRDefault="009236F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9A1FD9" w:rsidRPr="00BA0D9C" w:rsidRDefault="009A1FD9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13C11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C13C11" w:rsidRPr="00C25F47">
          <w:rPr>
            <w:b w:val="0"/>
            <w:bCs/>
            <w:color w:val="008080"/>
          </w:rPr>
          <w:fldChar w:fldCharType="separate"/>
        </w:r>
        <w:r w:rsidR="00DD1BE6">
          <w:rPr>
            <w:bCs/>
            <w:noProof/>
            <w:color w:val="008080"/>
          </w:rPr>
          <w:t>1</w:t>
        </w:r>
        <w:r w:rsidR="00C13C11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F5" w:rsidRDefault="009236F5" w:rsidP="00783D72">
      <w:pPr>
        <w:spacing w:after="0" w:line="240" w:lineRule="auto"/>
      </w:pPr>
      <w:r>
        <w:separator/>
      </w:r>
    </w:p>
  </w:footnote>
  <w:footnote w:type="continuationSeparator" w:id="0">
    <w:p w:rsidR="009236F5" w:rsidRDefault="009236F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D9" w:rsidRDefault="009A1FD9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8DD"/>
    <w:multiLevelType w:val="hybridMultilevel"/>
    <w:tmpl w:val="569E40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0591"/>
    <w:multiLevelType w:val="hybridMultilevel"/>
    <w:tmpl w:val="2D8EFC66"/>
    <w:lvl w:ilvl="0" w:tplc="3348A84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6BFA"/>
    <w:multiLevelType w:val="hybridMultilevel"/>
    <w:tmpl w:val="D838771C"/>
    <w:lvl w:ilvl="0" w:tplc="CA1626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3668D"/>
    <w:multiLevelType w:val="hybridMultilevel"/>
    <w:tmpl w:val="0F26A44A"/>
    <w:lvl w:ilvl="0" w:tplc="575A7A30">
      <w:start w:val="2"/>
      <w:numFmt w:val="decimal"/>
      <w:lvlText w:val="%1-"/>
      <w:lvlJc w:val="left"/>
      <w:pPr>
        <w:ind w:left="720" w:hanging="360"/>
      </w:pPr>
      <w:rPr>
        <w:rFonts w:eastAsia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6539A"/>
    <w:multiLevelType w:val="hybridMultilevel"/>
    <w:tmpl w:val="2B0A7D30"/>
    <w:lvl w:ilvl="0" w:tplc="982E9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30A39"/>
    <w:multiLevelType w:val="hybridMultilevel"/>
    <w:tmpl w:val="36583988"/>
    <w:lvl w:ilvl="0" w:tplc="822AEF92">
      <w:start w:val="1"/>
      <w:numFmt w:val="lowerLetter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131A6"/>
    <w:multiLevelType w:val="multilevel"/>
    <w:tmpl w:val="B218D5A2"/>
    <w:lvl w:ilvl="0">
      <w:start w:val="1"/>
      <w:numFmt w:val="lowerLetter"/>
      <w:lvlText w:val="%1)"/>
      <w:lvlJc w:val="left"/>
      <w:pPr>
        <w:ind w:left="329" w:hanging="229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27259"/>
    <w:rsid w:val="0003109B"/>
    <w:rsid w:val="00032334"/>
    <w:rsid w:val="00066379"/>
    <w:rsid w:val="000A5BF9"/>
    <w:rsid w:val="000B4847"/>
    <w:rsid w:val="000D12C0"/>
    <w:rsid w:val="000D23BC"/>
    <w:rsid w:val="001127C6"/>
    <w:rsid w:val="0012678C"/>
    <w:rsid w:val="001370DC"/>
    <w:rsid w:val="00146069"/>
    <w:rsid w:val="00151FEA"/>
    <w:rsid w:val="00193E0F"/>
    <w:rsid w:val="001C1B20"/>
    <w:rsid w:val="001E3E4B"/>
    <w:rsid w:val="001E48CD"/>
    <w:rsid w:val="001E5364"/>
    <w:rsid w:val="002009ED"/>
    <w:rsid w:val="002216BA"/>
    <w:rsid w:val="00277F51"/>
    <w:rsid w:val="00305E45"/>
    <w:rsid w:val="003150B2"/>
    <w:rsid w:val="003561C1"/>
    <w:rsid w:val="00361046"/>
    <w:rsid w:val="00374957"/>
    <w:rsid w:val="003C65E8"/>
    <w:rsid w:val="003D489C"/>
    <w:rsid w:val="00404C15"/>
    <w:rsid w:val="00424D38"/>
    <w:rsid w:val="00430318"/>
    <w:rsid w:val="00442E1A"/>
    <w:rsid w:val="00480A51"/>
    <w:rsid w:val="004D36CE"/>
    <w:rsid w:val="0050214C"/>
    <w:rsid w:val="005147EF"/>
    <w:rsid w:val="00567A22"/>
    <w:rsid w:val="00580E01"/>
    <w:rsid w:val="00586A4B"/>
    <w:rsid w:val="005A232A"/>
    <w:rsid w:val="005A357B"/>
    <w:rsid w:val="005F1184"/>
    <w:rsid w:val="00604026"/>
    <w:rsid w:val="006530E2"/>
    <w:rsid w:val="00661D2A"/>
    <w:rsid w:val="00676D60"/>
    <w:rsid w:val="00695C1F"/>
    <w:rsid w:val="006D5261"/>
    <w:rsid w:val="00706718"/>
    <w:rsid w:val="00715B28"/>
    <w:rsid w:val="00755049"/>
    <w:rsid w:val="007662F7"/>
    <w:rsid w:val="00783D72"/>
    <w:rsid w:val="00784E39"/>
    <w:rsid w:val="00790785"/>
    <w:rsid w:val="007A7411"/>
    <w:rsid w:val="007B311A"/>
    <w:rsid w:val="007B57AF"/>
    <w:rsid w:val="007C25B8"/>
    <w:rsid w:val="007D663B"/>
    <w:rsid w:val="00812CE5"/>
    <w:rsid w:val="008140F1"/>
    <w:rsid w:val="00816109"/>
    <w:rsid w:val="00826137"/>
    <w:rsid w:val="00835EB9"/>
    <w:rsid w:val="0084730F"/>
    <w:rsid w:val="00882B4C"/>
    <w:rsid w:val="00882CF3"/>
    <w:rsid w:val="008A3A8B"/>
    <w:rsid w:val="008D5192"/>
    <w:rsid w:val="008E1A9E"/>
    <w:rsid w:val="00912C6D"/>
    <w:rsid w:val="0091488D"/>
    <w:rsid w:val="009236F5"/>
    <w:rsid w:val="00924CCD"/>
    <w:rsid w:val="00945154"/>
    <w:rsid w:val="00946D11"/>
    <w:rsid w:val="00951047"/>
    <w:rsid w:val="00952965"/>
    <w:rsid w:val="0096301B"/>
    <w:rsid w:val="00964AA2"/>
    <w:rsid w:val="00965755"/>
    <w:rsid w:val="009A07CE"/>
    <w:rsid w:val="009A1FD9"/>
    <w:rsid w:val="009A7A63"/>
    <w:rsid w:val="009B758D"/>
    <w:rsid w:val="009C4E8E"/>
    <w:rsid w:val="009F5860"/>
    <w:rsid w:val="009F7306"/>
    <w:rsid w:val="00A1498F"/>
    <w:rsid w:val="00A409A5"/>
    <w:rsid w:val="00A42665"/>
    <w:rsid w:val="00A43CFF"/>
    <w:rsid w:val="00A55BA1"/>
    <w:rsid w:val="00A61DCF"/>
    <w:rsid w:val="00AC02B0"/>
    <w:rsid w:val="00AC61CD"/>
    <w:rsid w:val="00AD7E0C"/>
    <w:rsid w:val="00AE1636"/>
    <w:rsid w:val="00B002D6"/>
    <w:rsid w:val="00B047DE"/>
    <w:rsid w:val="00B14072"/>
    <w:rsid w:val="00BA0D9C"/>
    <w:rsid w:val="00BA1357"/>
    <w:rsid w:val="00BA701E"/>
    <w:rsid w:val="00BB1EA6"/>
    <w:rsid w:val="00BC30C5"/>
    <w:rsid w:val="00BE2B5F"/>
    <w:rsid w:val="00C00FD5"/>
    <w:rsid w:val="00C0125D"/>
    <w:rsid w:val="00C11657"/>
    <w:rsid w:val="00C13974"/>
    <w:rsid w:val="00C13C11"/>
    <w:rsid w:val="00C17905"/>
    <w:rsid w:val="00C25F47"/>
    <w:rsid w:val="00C90D5F"/>
    <w:rsid w:val="00CD3537"/>
    <w:rsid w:val="00CE13EE"/>
    <w:rsid w:val="00D26145"/>
    <w:rsid w:val="00D26370"/>
    <w:rsid w:val="00D46AE3"/>
    <w:rsid w:val="00D46F08"/>
    <w:rsid w:val="00D557E8"/>
    <w:rsid w:val="00D64FCF"/>
    <w:rsid w:val="00D7374F"/>
    <w:rsid w:val="00D739D0"/>
    <w:rsid w:val="00D84324"/>
    <w:rsid w:val="00D9241C"/>
    <w:rsid w:val="00D943DD"/>
    <w:rsid w:val="00DA6E99"/>
    <w:rsid w:val="00DB2DA6"/>
    <w:rsid w:val="00DC1E4C"/>
    <w:rsid w:val="00DD1BE6"/>
    <w:rsid w:val="00DD36D6"/>
    <w:rsid w:val="00DF28ED"/>
    <w:rsid w:val="00DF7344"/>
    <w:rsid w:val="00DF7B85"/>
    <w:rsid w:val="00E0633B"/>
    <w:rsid w:val="00E10FDD"/>
    <w:rsid w:val="00E10FF6"/>
    <w:rsid w:val="00E12441"/>
    <w:rsid w:val="00E625E1"/>
    <w:rsid w:val="00E66B3C"/>
    <w:rsid w:val="00E74517"/>
    <w:rsid w:val="00E96D78"/>
    <w:rsid w:val="00EB1374"/>
    <w:rsid w:val="00EC38D8"/>
    <w:rsid w:val="00ED4EE0"/>
    <w:rsid w:val="00ED7498"/>
    <w:rsid w:val="00F16916"/>
    <w:rsid w:val="00F22166"/>
    <w:rsid w:val="00F22E1A"/>
    <w:rsid w:val="00F3263E"/>
    <w:rsid w:val="00F32C3A"/>
    <w:rsid w:val="00F750E9"/>
    <w:rsid w:val="00F96018"/>
    <w:rsid w:val="00FA4957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AC02B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AC02B0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10</cp:revision>
  <dcterms:created xsi:type="dcterms:W3CDTF">2021-10-07T18:32:00Z</dcterms:created>
  <dcterms:modified xsi:type="dcterms:W3CDTF">2021-10-08T15:51:00Z</dcterms:modified>
</cp:coreProperties>
</file>