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49.80pt" w:type="dxa"/>
        <w:jc w:val="center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766"/>
        <w:gridCol w:w="7230"/>
      </w:tblGrid>
      <w:tr w:rsidR="00633AD6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633AD6" w:rsidRDefault="00E96689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633AD6" w:rsidRDefault="00E96689">
            <w:pPr>
              <w:widowControl w:val="0"/>
              <w:spacing w:after="0pt" w:line="12pt" w:lineRule="auto"/>
              <w:jc w:val="both"/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Protocolo SICCAU nº 1533575/2022</w:t>
            </w:r>
          </w:p>
        </w:tc>
      </w:tr>
      <w:tr w:rsidR="00633AD6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633AD6" w:rsidRDefault="00E96689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633AD6" w:rsidRDefault="00E9668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CEP-CAU/BR</w:t>
            </w:r>
          </w:p>
        </w:tc>
      </w:tr>
      <w:tr w:rsidR="00633AD6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633AD6" w:rsidRDefault="00E96689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633AD6" w:rsidRDefault="00E96689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Revogação das Deliberações da CEP-CAU/BR que contêm restrições e/ou vedações ao exercício das atividades </w:t>
            </w:r>
            <w:r>
              <w:rPr>
                <w:rFonts w:ascii="Times New Roman" w:hAnsi="Times New Roman"/>
                <w:b w:val="0"/>
                <w:bCs/>
              </w:rPr>
              <w:t>profissionais dos arquitetos e urbanistas, em função das Deliberações DPAEBR 006-3-2020 e 024-2021-CEP-CAU/BR</w:t>
            </w:r>
          </w:p>
        </w:tc>
      </w:tr>
    </w:tbl>
    <w:p w:rsidR="00633AD6" w:rsidRDefault="00E96689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DELIBERAÇÃO Nº 018/2022 – CEP – CAU/BR</w:t>
      </w:r>
    </w:p>
    <w:p w:rsidR="00633AD6" w:rsidRDefault="00633AD6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33AD6" w:rsidRDefault="00E96689">
      <w:pPr>
        <w:spacing w:after="0pt" w:line="12pt" w:lineRule="auto"/>
        <w:jc w:val="both"/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>
        <w:rPr>
          <w:rFonts w:ascii="Times New Roman" w:eastAsia="Times New Roman" w:hAnsi="Times New Roman" w:cs="Times New Roman"/>
          <w:b w:val="0"/>
          <w:bCs/>
          <w:lang w:eastAsia="pt-BR"/>
        </w:rPr>
        <w:t>por meio de reunião híbrida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, na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sede do CAU/BR, nos dias 12 e 13 de maio de 2022, no uso das competências que lhe conferem os artigos 97 e 101 do Regimento Interno do CAU/BR, após análise do assunto em epígrafe, e</w:t>
      </w:r>
    </w:p>
    <w:p w:rsidR="00633AD6" w:rsidRDefault="00633AD6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33AD6" w:rsidRDefault="00E96689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Considerando que a Resolução CAU/BR nº 21, de 05 de abril de 2012, detal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ha e tipifica o rol de atividades técnicas de atribuição do arquiteto e urbanista para fins de Registro de Responsabilidade Técnica (RRT) no CAU;</w:t>
      </w:r>
    </w:p>
    <w:p w:rsidR="00633AD6" w:rsidRDefault="00633AD6">
      <w:pPr>
        <w:autoSpaceDE w:val="0"/>
        <w:spacing w:after="0pt" w:line="12pt" w:lineRule="auto"/>
        <w:jc w:val="both"/>
        <w:rPr>
          <w:rFonts w:ascii="Times New Roman" w:hAnsi="Times New Roman"/>
          <w:b w:val="0"/>
        </w:rPr>
      </w:pPr>
    </w:p>
    <w:p w:rsidR="00633AD6" w:rsidRDefault="00E96689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Considerando a Deliberação Plenária DPAEBR nº 006-03, de 23 de outubro de 2020, que aprova as orientações e e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sclarecimentos sobre questionamentos referentes às atividades e atribuições profissionais e campos de atuação dos arquitetos e urbanistas.</w:t>
      </w:r>
    </w:p>
    <w:p w:rsidR="00633AD6" w:rsidRDefault="00633AD6">
      <w:pPr>
        <w:autoSpaceDE w:val="0"/>
        <w:spacing w:after="0pt" w:line="12pt" w:lineRule="auto"/>
        <w:jc w:val="both"/>
        <w:rPr>
          <w:rFonts w:ascii="Times New Roman" w:hAnsi="Times New Roman"/>
          <w:b w:val="0"/>
        </w:rPr>
      </w:pPr>
    </w:p>
    <w:p w:rsidR="00633AD6" w:rsidRDefault="00E96689">
      <w:pPr>
        <w:autoSpaceDE w:val="0"/>
        <w:spacing w:after="6pt" w:line="12pt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Considerando a Deliberação nº 024/2021 da CEP-CAU/BR com orientações de procedimentos aos CAU/UF sobre questionament</w:t>
      </w:r>
      <w:r>
        <w:rPr>
          <w:rFonts w:ascii="Times New Roman" w:hAnsi="Times New Roman"/>
          <w:b w:val="0"/>
        </w:rPr>
        <w:t>os acerca de atribuições e atividades e que na alínea c do item 2 informou que:</w:t>
      </w:r>
    </w:p>
    <w:p w:rsidR="00633AD6" w:rsidRDefault="00E96689">
      <w:pPr>
        <w:pStyle w:val="PargrafodaLista"/>
        <w:ind w:start="36pt"/>
        <w:jc w:val="both"/>
        <w:rPr>
          <w:rFonts w:ascii="Times New Roman" w:hAnsi="Times New Roman"/>
          <w:i/>
          <w:sz w:val="22"/>
          <w:szCs w:val="22"/>
          <w:lang w:eastAsia="pt-BR"/>
        </w:rPr>
      </w:pPr>
      <w:r>
        <w:rPr>
          <w:rFonts w:ascii="Times New Roman" w:hAnsi="Times New Roman"/>
          <w:i/>
          <w:sz w:val="22"/>
          <w:szCs w:val="22"/>
          <w:lang w:eastAsia="pt-BR"/>
        </w:rPr>
        <w:t>“as Deliberações da CEP-CAU/BR com data anterior a 23 de outubro de 2020, que contenham restrições ou limitações às atribuições e  atividades profissionais dos arquitetos e urb</w:t>
      </w:r>
      <w:r>
        <w:rPr>
          <w:rFonts w:ascii="Times New Roman" w:hAnsi="Times New Roman"/>
          <w:i/>
          <w:sz w:val="22"/>
          <w:szCs w:val="22"/>
          <w:lang w:eastAsia="pt-BR"/>
        </w:rPr>
        <w:t>anistas, NÂO são válidas para aplicação por parte dos CAU/UF, ratificando que, a partir da edição da DPAEBR nº 006-03/2020, passou a prevalecer as orientações e entendimentos dispostos nesta Deliberação Plenária do CAU/BR;”</w:t>
      </w:r>
    </w:p>
    <w:p w:rsidR="00633AD6" w:rsidRDefault="00633AD6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633AD6" w:rsidRDefault="00E96689">
      <w:pPr>
        <w:spacing w:after="0pt" w:line="12pt" w:lineRule="auto"/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 xml:space="preserve">Considerando que a Deliberação </w:t>
      </w:r>
      <w:r>
        <w:rPr>
          <w:rFonts w:ascii="Times New Roman" w:hAnsi="Times New Roman"/>
          <w:b w:val="0"/>
          <w:bCs/>
          <w:lang w:eastAsia="pt-BR"/>
        </w:rPr>
        <w:t>nº 024/2021-CEP-CAU/BR foi amplamente divulgada aos CAU/UF por meio de protocolo SICCAU enviado pela Presidência do CAU/BR e pelo Aviso da RIA nº 063 de 30 de julho de 2021.</w:t>
      </w:r>
    </w:p>
    <w:p w:rsidR="00633AD6" w:rsidRDefault="00633AD6">
      <w:pPr>
        <w:spacing w:after="0pt" w:line="12pt" w:lineRule="auto"/>
        <w:jc w:val="both"/>
        <w:rPr>
          <w:rFonts w:ascii="Times New Roman" w:hAnsi="Times New Roman"/>
          <w:b w:val="0"/>
          <w:bCs/>
          <w:lang w:eastAsia="pt-BR"/>
        </w:rPr>
      </w:pPr>
    </w:p>
    <w:p w:rsidR="00633AD6" w:rsidRDefault="00E96689">
      <w:pPr>
        <w:spacing w:after="0pt" w:line="12pt" w:lineRule="auto"/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>Considerando as competências específicas da Comissão de Exercício Profissional do</w:t>
      </w:r>
      <w:r>
        <w:rPr>
          <w:rFonts w:ascii="Times New Roman" w:hAnsi="Times New Roman"/>
          <w:b w:val="0"/>
          <w:bCs/>
          <w:lang w:eastAsia="pt-BR"/>
        </w:rPr>
        <w:t xml:space="preserve"> CAU/BR, dispostas no Art. 101 do Regimento Interno do CAU/BR, instituído pela Resolução CAU/BR n° 139, de 28 de abril de 2017, cabendo à CEP-CAU/BR propor, apreciar e deliberar sobre questionamentos a atos normativos do CAU/BR referentes a atividades técn</w:t>
      </w:r>
      <w:r>
        <w:rPr>
          <w:rFonts w:ascii="Times New Roman" w:hAnsi="Times New Roman"/>
          <w:b w:val="0"/>
          <w:bCs/>
          <w:lang w:eastAsia="pt-BR"/>
        </w:rPr>
        <w:t>icas no exercício da Arquitetura e Urbanismo.</w:t>
      </w:r>
    </w:p>
    <w:p w:rsidR="00633AD6" w:rsidRDefault="00633AD6">
      <w:pPr>
        <w:spacing w:after="0pt" w:line="12pt" w:lineRule="auto"/>
        <w:jc w:val="both"/>
        <w:rPr>
          <w:rFonts w:ascii="Times New Roman" w:hAnsi="Times New Roman"/>
          <w:b w:val="0"/>
          <w:bCs/>
          <w:lang w:eastAsia="pt-BR"/>
        </w:rPr>
      </w:pPr>
    </w:p>
    <w:p w:rsidR="00633AD6" w:rsidRDefault="00E96689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:rsidR="00633AD6" w:rsidRDefault="00633AD6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633AD6" w:rsidRDefault="00E96689">
      <w:pPr>
        <w:spacing w:after="6pt" w:line="12pt" w:lineRule="auto"/>
        <w:jc w:val="both"/>
      </w:pPr>
      <w:r>
        <w:rPr>
          <w:rFonts w:ascii="Times New Roman" w:hAnsi="Times New Roman"/>
          <w:b w:val="0"/>
          <w:bCs/>
          <w:lang w:eastAsia="pt-BR"/>
        </w:rPr>
        <w:t>1 – Informar que, em função da Deliberação Plenária DPAEBR nº 006-3-2020 e da Deliberação da CEP-CAU/BR nº 024/2021, as Deliberações da CEP-CAU/BR com data anterior a 23 de outubro de 2020 que conte</w:t>
      </w:r>
      <w:r>
        <w:rPr>
          <w:rFonts w:ascii="Times New Roman" w:hAnsi="Times New Roman"/>
          <w:b w:val="0"/>
          <w:bCs/>
          <w:lang w:eastAsia="pt-BR"/>
        </w:rPr>
        <w:t xml:space="preserve">nham </w:t>
      </w:r>
      <w:r>
        <w:rPr>
          <w:rFonts w:ascii="Times New Roman" w:hAnsi="Times New Roman"/>
          <w:b w:val="0"/>
          <w:bCs/>
        </w:rPr>
        <w:t xml:space="preserve">restrições e vedações ao exercício das atividades profissionais dos arquitetos e urbanistas serão REVOGADAS, </w:t>
      </w:r>
      <w:r>
        <w:rPr>
          <w:rFonts w:ascii="Times New Roman" w:hAnsi="Times New Roman"/>
          <w:b w:val="0"/>
          <w:bCs/>
          <w:lang w:eastAsia="pt-BR"/>
        </w:rPr>
        <w:t>parcial ou integralmente, conforme descrito abaixo:</w:t>
      </w:r>
    </w:p>
    <w:p w:rsidR="00633AD6" w:rsidRDefault="00E96689">
      <w:pPr>
        <w:pStyle w:val="PargrafodaLista"/>
        <w:numPr>
          <w:ilvl w:val="0"/>
          <w:numId w:val="1"/>
        </w:numPr>
        <w:spacing w:after="6pt"/>
        <w:jc w:val="both"/>
        <w:rPr>
          <w:rFonts w:ascii="Times New Roman" w:hAnsi="Times New Roman"/>
          <w:bCs/>
          <w:sz w:val="22"/>
          <w:szCs w:val="22"/>
          <w:lang w:eastAsia="pt-BR"/>
        </w:rPr>
      </w:pPr>
      <w:r>
        <w:rPr>
          <w:rFonts w:ascii="Times New Roman" w:hAnsi="Times New Roman"/>
          <w:bCs/>
          <w:sz w:val="22"/>
          <w:szCs w:val="22"/>
          <w:lang w:eastAsia="pt-BR"/>
        </w:rPr>
        <w:t xml:space="preserve">Revoga-se as Deliberações da CEP-CAU/BR nº 07 e 08 de 2014; nº 039, 045 e 046 de 2015; nº </w:t>
      </w:r>
      <w:r>
        <w:rPr>
          <w:rFonts w:ascii="Times New Roman" w:hAnsi="Times New Roman"/>
          <w:bCs/>
          <w:sz w:val="22"/>
          <w:szCs w:val="22"/>
          <w:lang w:eastAsia="pt-BR"/>
        </w:rPr>
        <w:t>17 e 21 de 2016; nº 019, 020, 021, 022, 023, 025, 026, 073 e 110 de 2017; nº 028, 032, 070, 075, 085, 086, 088 de 2018; e nº 004, 005, 018, 059 e 063 de 2019, totalizando 28 (vinte e oito) documentos com revogação integral; e</w:t>
      </w:r>
    </w:p>
    <w:p w:rsidR="00633AD6" w:rsidRDefault="00E96689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bCs/>
          <w:sz w:val="22"/>
          <w:szCs w:val="22"/>
          <w:lang w:eastAsia="pt-BR"/>
        </w:rPr>
      </w:pPr>
      <w:r>
        <w:rPr>
          <w:rFonts w:ascii="Times New Roman" w:hAnsi="Times New Roman"/>
          <w:bCs/>
          <w:sz w:val="22"/>
          <w:szCs w:val="22"/>
          <w:lang w:eastAsia="pt-BR"/>
        </w:rPr>
        <w:t>Revoga-se o Item 4 da Delibera</w:t>
      </w:r>
      <w:r>
        <w:rPr>
          <w:rFonts w:ascii="Times New Roman" w:hAnsi="Times New Roman"/>
          <w:bCs/>
          <w:sz w:val="22"/>
          <w:szCs w:val="22"/>
          <w:lang w:eastAsia="pt-BR"/>
        </w:rPr>
        <w:t>ção da CEP-CAU/BR nº 019/2019, que já havia disposição contrária na Deliberação nº 031/2020-CEP-CAU/BR, sendo sua revogação parcial.</w:t>
      </w:r>
    </w:p>
    <w:p w:rsidR="00633AD6" w:rsidRDefault="00633AD6">
      <w:pPr>
        <w:pStyle w:val="PargrafodaLista"/>
        <w:rPr>
          <w:rFonts w:ascii="Times New Roman" w:hAnsi="Times New Roman"/>
          <w:bCs/>
          <w:sz w:val="22"/>
          <w:szCs w:val="22"/>
          <w:lang w:eastAsia="pt-BR"/>
        </w:rPr>
      </w:pPr>
    </w:p>
    <w:p w:rsidR="00633AD6" w:rsidRDefault="00E96689">
      <w:pPr>
        <w:spacing w:after="6pt" w:line="12pt" w:lineRule="auto"/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>2 – Solicitar à Secretaria Geral da Mesa (SGM) as seguintes providências:</w:t>
      </w:r>
    </w:p>
    <w:p w:rsidR="00633AD6" w:rsidRDefault="00E96689">
      <w:pPr>
        <w:pStyle w:val="PargrafodaLista"/>
        <w:numPr>
          <w:ilvl w:val="0"/>
          <w:numId w:val="2"/>
        </w:numPr>
        <w:spacing w:after="6pt"/>
        <w:ind w:start="35.70pt" w:hanging="17.85pt"/>
        <w:jc w:val="both"/>
      </w:pPr>
      <w:r>
        <w:rPr>
          <w:rFonts w:ascii="Times New Roman" w:hAnsi="Times New Roman"/>
          <w:bCs/>
          <w:sz w:val="22"/>
          <w:szCs w:val="22"/>
          <w:lang w:eastAsia="pt-BR"/>
        </w:rPr>
        <w:lastRenderedPageBreak/>
        <w:t>inserir o termo “</w:t>
      </w:r>
      <w:r>
        <w:rPr>
          <w:rFonts w:ascii="Times New Roman" w:hAnsi="Times New Roman"/>
          <w:bCs/>
          <w:i/>
          <w:sz w:val="22"/>
          <w:szCs w:val="22"/>
          <w:u w:val="single"/>
          <w:lang w:eastAsia="pt-BR"/>
        </w:rPr>
        <w:t>Revogada pela Deliberação nº 01</w:t>
      </w:r>
      <w:r>
        <w:rPr>
          <w:rFonts w:ascii="Times New Roman" w:hAnsi="Times New Roman"/>
          <w:bCs/>
          <w:i/>
          <w:sz w:val="22"/>
          <w:szCs w:val="22"/>
          <w:u w:val="single"/>
          <w:lang w:eastAsia="pt-BR"/>
        </w:rPr>
        <w:t>8/2022-CEP-CAUBR, em função da DPAEBR-006-03-2020</w:t>
      </w:r>
      <w:r>
        <w:rPr>
          <w:rFonts w:ascii="Times New Roman" w:hAnsi="Times New Roman"/>
          <w:bCs/>
          <w:i/>
          <w:sz w:val="22"/>
          <w:szCs w:val="22"/>
          <w:lang w:eastAsia="pt-BR"/>
        </w:rPr>
        <w:t>”</w:t>
      </w:r>
      <w:r>
        <w:rPr>
          <w:rFonts w:ascii="Times New Roman" w:hAnsi="Times New Roman"/>
          <w:bCs/>
          <w:sz w:val="22"/>
          <w:szCs w:val="22"/>
          <w:lang w:eastAsia="pt-BR"/>
        </w:rPr>
        <w:t xml:space="preserve"> e a tarja de texto riscado nas Deliberações descritas no item 1 acima, que se encontram publicadas no Portal da Transparência do CAU/BR, em Atas e Súmulas;</w:t>
      </w:r>
    </w:p>
    <w:p w:rsidR="00633AD6" w:rsidRDefault="00E96689">
      <w:pPr>
        <w:pStyle w:val="PargrafodaLista"/>
        <w:numPr>
          <w:ilvl w:val="0"/>
          <w:numId w:val="2"/>
        </w:numPr>
        <w:spacing w:after="6pt"/>
        <w:ind w:start="35.70pt" w:hanging="17.85pt"/>
        <w:jc w:val="both"/>
        <w:rPr>
          <w:rFonts w:ascii="Times New Roman" w:hAnsi="Times New Roman"/>
          <w:bCs/>
          <w:sz w:val="22"/>
          <w:szCs w:val="22"/>
          <w:lang w:eastAsia="pt-BR"/>
        </w:rPr>
      </w:pPr>
      <w:r>
        <w:rPr>
          <w:rFonts w:ascii="Times New Roman" w:hAnsi="Times New Roman"/>
          <w:bCs/>
          <w:sz w:val="22"/>
          <w:szCs w:val="22"/>
          <w:lang w:eastAsia="pt-BR"/>
        </w:rPr>
        <w:t>após realizada a ação de revogação das publicaçõe</w:t>
      </w:r>
      <w:r>
        <w:rPr>
          <w:rFonts w:ascii="Times New Roman" w:hAnsi="Times New Roman"/>
          <w:bCs/>
          <w:sz w:val="22"/>
          <w:szCs w:val="22"/>
          <w:lang w:eastAsia="pt-BR"/>
        </w:rPr>
        <w:t>s, enviar esta Deliberação à coordenação da RIA – Rede Integrada de Atendimento do CAU/BR para emissão de AVISO e divulgação aos CAU/UF, informando sobre as Deliberações da CEP-CAU/BR que foram revogadas, parcial ou integralmente, em função da DEPAEBR nº 0</w:t>
      </w:r>
      <w:r>
        <w:rPr>
          <w:rFonts w:ascii="Times New Roman" w:hAnsi="Times New Roman"/>
          <w:bCs/>
          <w:sz w:val="22"/>
          <w:szCs w:val="22"/>
          <w:lang w:eastAsia="pt-BR"/>
        </w:rPr>
        <w:t>06-03-2020 e das Deliberações nº 024/2021 e nº 018/2022 da CEP-CAU/BR; e</w:t>
      </w:r>
    </w:p>
    <w:p w:rsidR="00633AD6" w:rsidRDefault="00E96689">
      <w:pPr>
        <w:pStyle w:val="PargrafodaLista"/>
        <w:numPr>
          <w:ilvl w:val="0"/>
          <w:numId w:val="2"/>
        </w:numPr>
        <w:spacing w:after="6pt"/>
        <w:ind w:start="35.70pt" w:hanging="17.85pt"/>
        <w:jc w:val="both"/>
        <w:rPr>
          <w:rFonts w:ascii="Times New Roman" w:hAnsi="Times New Roman"/>
          <w:bCs/>
          <w:sz w:val="22"/>
          <w:szCs w:val="22"/>
          <w:lang w:eastAsia="pt-BR"/>
        </w:rPr>
      </w:pPr>
      <w:r>
        <w:rPr>
          <w:rFonts w:ascii="Times New Roman" w:hAnsi="Times New Roman"/>
          <w:bCs/>
          <w:sz w:val="22"/>
          <w:szCs w:val="22"/>
          <w:lang w:eastAsia="pt-BR"/>
        </w:rPr>
        <w:t>enviar esta Deliberação, em comunicado por e-mail, a todos conselheiros federais e membros do CEAU do CAU/BR para conhecimento do seu inteiro teor.</w:t>
      </w:r>
    </w:p>
    <w:p w:rsidR="00633AD6" w:rsidRDefault="00E96689">
      <w:pPr>
        <w:spacing w:after="0pt" w:line="12pt" w:lineRule="auto"/>
        <w:jc w:val="both"/>
      </w:pPr>
      <w:r>
        <w:rPr>
          <w:rFonts w:ascii="Times New Roman" w:hAnsi="Times New Roman"/>
          <w:b w:val="0"/>
          <w:lang w:eastAsia="pt-BR"/>
        </w:rPr>
        <w:t xml:space="preserve">3 - Encaminhar esta deliberação </w:t>
      </w:r>
      <w:r>
        <w:rPr>
          <w:rFonts w:ascii="Times New Roman" w:hAnsi="Times New Roman"/>
          <w:b w:val="0"/>
          <w:lang w:eastAsia="pt-BR"/>
        </w:rPr>
        <w:t xml:space="preserve">para verificação e tomada das seguintes providências, </w:t>
      </w:r>
      <w:r>
        <w:rPr>
          <w:rFonts w:ascii="Times New Roman" w:eastAsia="Times New Roman" w:hAnsi="Times New Roman"/>
          <w:b w:val="0"/>
          <w:lang w:eastAsia="pt-BR"/>
        </w:rPr>
        <w:t>observado e cumprido o fluxo e prazos a seguir:</w:t>
      </w:r>
    </w:p>
    <w:tbl>
      <w:tblPr>
        <w:tblW w:w="425.25pt" w:type="dxa"/>
        <w:tblInd w:w="5.40pt" w:type="dxa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538"/>
        <w:gridCol w:w="1560"/>
        <w:gridCol w:w="4877"/>
        <w:gridCol w:w="1530"/>
      </w:tblGrid>
      <w:tr w:rsidR="00633AD6">
        <w:tblPrEx>
          <w:tblCellMar>
            <w:top w:w="0pt" w:type="dxa"/>
            <w:bottom w:w="0pt" w:type="dxa"/>
          </w:tblCellMar>
        </w:tblPrEx>
        <w:tc>
          <w:tcPr>
            <w:tcW w:w="26.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633AD6" w:rsidRDefault="00633AD6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7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633AD6" w:rsidRDefault="00E9668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43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633AD6" w:rsidRDefault="00E9668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7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633AD6" w:rsidRDefault="00E9668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633AD6">
        <w:tblPrEx>
          <w:tblCellMar>
            <w:top w:w="0pt" w:type="dxa"/>
            <w:bottom w:w="0pt" w:type="dxa"/>
          </w:tblCellMar>
        </w:tblPrEx>
        <w:trPr>
          <w:trHeight w:val="397"/>
        </w:trPr>
        <w:tc>
          <w:tcPr>
            <w:tcW w:w="26.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633AD6" w:rsidRDefault="00E9668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7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633AD6" w:rsidRDefault="00E9668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43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633AD6" w:rsidRDefault="00E9668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Providenciar a indicação de revogação nas deliberações da CEP no portal da transparência, depois tramitar o protocolo à RIA </w:t>
            </w:r>
            <w:r>
              <w:rPr>
                <w:rFonts w:ascii="Times New Roman" w:hAnsi="Times New Roman"/>
                <w:b w:val="0"/>
                <w:lang w:eastAsia="pt-BR"/>
              </w:rPr>
              <w:t>para divulgação aos CAU/UF, e por fim, enviar email aos conselheiros e membros do CEAU</w:t>
            </w:r>
          </w:p>
        </w:tc>
        <w:tc>
          <w:tcPr>
            <w:tcW w:w="7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633AD6" w:rsidRDefault="00E9668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Até 10 dias</w:t>
            </w:r>
          </w:p>
        </w:tc>
      </w:tr>
      <w:tr w:rsidR="00633AD6">
        <w:tblPrEx>
          <w:tblCellMar>
            <w:top w:w="0pt" w:type="dxa"/>
            <w:bottom w:w="0pt" w:type="dxa"/>
          </w:tblCellMar>
        </w:tblPrEx>
        <w:tc>
          <w:tcPr>
            <w:tcW w:w="26.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633AD6" w:rsidRDefault="00E9668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7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633AD6" w:rsidRDefault="00E9668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RIA</w:t>
            </w:r>
          </w:p>
        </w:tc>
        <w:tc>
          <w:tcPr>
            <w:tcW w:w="243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633AD6" w:rsidRDefault="00E9668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Publicar o Aviso e comunicar os CAU/UF sobre a revogação das deliberações da CEP, e  restituir o Protocolo à SGM avisando sobre o comunicado </w:t>
            </w:r>
            <w:r>
              <w:rPr>
                <w:rFonts w:ascii="Times New Roman" w:hAnsi="Times New Roman"/>
                <w:b w:val="0"/>
                <w:lang w:eastAsia="pt-BR"/>
              </w:rPr>
              <w:t>realizado;</w:t>
            </w:r>
          </w:p>
        </w:tc>
        <w:tc>
          <w:tcPr>
            <w:tcW w:w="7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633AD6" w:rsidRDefault="00E9668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Até 15 dias</w:t>
            </w:r>
          </w:p>
        </w:tc>
      </w:tr>
      <w:tr w:rsidR="00633AD6">
        <w:tblPrEx>
          <w:tblCellMar>
            <w:top w:w="0pt" w:type="dxa"/>
            <w:bottom w:w="0pt" w:type="dxa"/>
          </w:tblCellMar>
        </w:tblPrEx>
        <w:tc>
          <w:tcPr>
            <w:tcW w:w="26.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633AD6" w:rsidRDefault="00E9668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3</w:t>
            </w:r>
          </w:p>
        </w:tc>
        <w:tc>
          <w:tcPr>
            <w:tcW w:w="7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633AD6" w:rsidRDefault="00E9668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43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633AD6" w:rsidRDefault="00E9668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Restituir o protocolo à CEP para informar sobre o atendimento das solicitações</w:t>
            </w:r>
          </w:p>
        </w:tc>
        <w:tc>
          <w:tcPr>
            <w:tcW w:w="7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633AD6" w:rsidRDefault="00E9668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Até 5 dias </w:t>
            </w:r>
          </w:p>
        </w:tc>
      </w:tr>
    </w:tbl>
    <w:p w:rsidR="00633AD6" w:rsidRDefault="00633AD6">
      <w:pPr>
        <w:spacing w:after="0pt" w:line="12pt" w:lineRule="auto"/>
        <w:jc w:val="both"/>
        <w:rPr>
          <w:rFonts w:ascii="Times New Roman" w:eastAsia="Times New Roman" w:hAnsi="Times New Roman"/>
          <w:b w:val="0"/>
          <w:lang w:eastAsia="pt-BR"/>
        </w:rPr>
      </w:pPr>
    </w:p>
    <w:p w:rsidR="00633AD6" w:rsidRDefault="00E96689">
      <w:pPr>
        <w:spacing w:after="0pt" w:line="12pt" w:lineRule="auto"/>
        <w:ind w:start="-1.20pt"/>
        <w:jc w:val="both"/>
        <w:rPr>
          <w:rFonts w:ascii="Times New Roman" w:eastAsia="Times New Roman" w:hAnsi="Times New Roman"/>
          <w:b w:val="0"/>
          <w:lang w:eastAsia="pt-BR"/>
        </w:rPr>
      </w:pPr>
      <w:r>
        <w:rPr>
          <w:rFonts w:ascii="Times New Roman" w:eastAsia="Times New Roman" w:hAnsi="Times New Roman"/>
          <w:b w:val="0"/>
          <w:lang w:eastAsia="pt-BR"/>
        </w:rPr>
        <w:t>4 - Solicitar a observação dos temas contidos nesta deliberação pelos demais setores e órgãos colegiados que possuem convergência com</w:t>
      </w:r>
      <w:r>
        <w:rPr>
          <w:rFonts w:ascii="Times New Roman" w:eastAsia="Times New Roman" w:hAnsi="Times New Roman"/>
          <w:b w:val="0"/>
          <w:lang w:eastAsia="pt-BR"/>
        </w:rPr>
        <w:t xml:space="preserve"> o assunto.</w:t>
      </w:r>
    </w:p>
    <w:p w:rsidR="00633AD6" w:rsidRDefault="00633AD6">
      <w:pPr>
        <w:spacing w:after="0pt" w:line="12pt" w:lineRule="auto"/>
        <w:ind w:start="-1.20pt"/>
        <w:jc w:val="both"/>
        <w:rPr>
          <w:rFonts w:ascii="Times New Roman" w:eastAsia="Times New Roman" w:hAnsi="Times New Roman"/>
          <w:b w:val="0"/>
          <w:lang w:eastAsia="pt-BR"/>
        </w:rPr>
      </w:pPr>
    </w:p>
    <w:p w:rsidR="00633AD6" w:rsidRDefault="00E96689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>Brasília, 13 de maio de 2022.</w:t>
      </w:r>
    </w:p>
    <w:p w:rsidR="00633AD6" w:rsidRDefault="00633AD6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457.30pt" w:type="dxa"/>
        <w:tblInd w:w="-21.3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4678"/>
        <w:gridCol w:w="4468"/>
      </w:tblGrid>
      <w:tr w:rsidR="00633AD6">
        <w:tblPrEx>
          <w:tblCellMar>
            <w:top w:w="0pt" w:type="dxa"/>
            <w:bottom w:w="0pt" w:type="dxa"/>
          </w:tblCellMar>
        </w:tblPrEx>
        <w:tc>
          <w:tcPr>
            <w:tcW w:w="233.9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633AD6" w:rsidRDefault="00E96689">
            <w:pPr>
              <w:spacing w:after="0pt" w:line="12pt" w:lineRule="auto"/>
              <w:jc w:val="center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486405</wp:posOffset>
                  </wp:positionH>
                  <wp:positionV relativeFrom="paragraph">
                    <wp:posOffset>100968</wp:posOffset>
                  </wp:positionV>
                  <wp:extent cx="1885950" cy="647696"/>
                  <wp:effectExtent l="0" t="0" r="19050" b="19054"/>
                  <wp:wrapNone/>
                  <wp:docPr id="3" name="Retângulo 11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696"/>
                          </a:xfrm>
                          <a:prstGeom prst="rect">
                            <a:avLst/>
                          </a:prstGeom>
                          <a:noFill/>
                          <a:ln w="12701" cap="flat">
                            <a:solidFill>
                              <a:srgbClr val="D9D9D9"/>
                            </a:solidFill>
                            <a:prstDash val="solid"/>
                            <a:miter/>
                          </a:ln>
                        </wp:spPr>
                        <wp:bodyPr lIns="0" tIns="0" rIns="0" bIns="0"/>
                      </wp:wsp>
                    </a:graphicData>
                  </a:graphic>
                </wp:anchor>
              </w:drawing>
            </w:r>
          </w:p>
          <w:p w:rsidR="00633AD6" w:rsidRDefault="00633AD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:rsidR="00633AD6" w:rsidRDefault="00633AD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:rsidR="00633AD6" w:rsidRDefault="00633AD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:rsidR="00633AD6" w:rsidRDefault="00633AD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:rsidR="00633AD6" w:rsidRDefault="00E96689">
            <w:pPr>
              <w:spacing w:after="0pt" w:line="12pt" w:lineRule="auto"/>
              <w:jc w:val="center"/>
            </w:pPr>
            <w:r>
              <w:rPr>
                <w:rFonts w:ascii="Times New Roman" w:hAnsi="Times New Roman" w:cs="Times New Roman"/>
                <w:color w:val="auto"/>
              </w:rPr>
              <w:t>PATRÍCIA SILVA LUZ DE MACEDO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223.4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633AD6" w:rsidRDefault="00E96689">
            <w:pPr>
              <w:spacing w:after="0pt" w:line="12pt" w:lineRule="auto"/>
              <w:jc w:val="center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431797</wp:posOffset>
                  </wp:positionH>
                  <wp:positionV relativeFrom="paragraph">
                    <wp:posOffset>102239</wp:posOffset>
                  </wp:positionV>
                  <wp:extent cx="1885950" cy="647696"/>
                  <wp:effectExtent l="0" t="0" r="19050" b="19054"/>
                  <wp:wrapNone/>
                  <wp:docPr id="4" name="Retângulo 10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696"/>
                          </a:xfrm>
                          <a:prstGeom prst="rect">
                            <a:avLst/>
                          </a:prstGeom>
                          <a:noFill/>
                          <a:ln w="12701" cap="flat">
                            <a:solidFill>
                              <a:srgbClr val="D9D9D9"/>
                            </a:solidFill>
                            <a:prstDash val="solid"/>
                            <a:miter/>
                          </a:ln>
                        </wp:spPr>
                        <wp:bodyPr lIns="0" tIns="0" rIns="0" bIns="0"/>
                      </wp:wsp>
                    </a:graphicData>
                  </a:graphic>
                </wp:anchor>
              </w:drawing>
            </w:r>
          </w:p>
          <w:p w:rsidR="00633AD6" w:rsidRDefault="00633AD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:rsidR="00633AD6" w:rsidRDefault="00633AD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:rsidR="00633AD6" w:rsidRDefault="00633AD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:rsidR="00633AD6" w:rsidRDefault="00633AD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:rsidR="00633AD6" w:rsidRDefault="00E96689">
            <w:pPr>
              <w:spacing w:after="0pt" w:line="12pt" w:lineRule="auto"/>
              <w:jc w:val="center"/>
            </w:pPr>
            <w:r>
              <w:rPr>
                <w:rFonts w:ascii="Times New Roman" w:eastAsia="Cambria" w:hAnsi="Times New Roman" w:cs="Times New Roman"/>
              </w:rPr>
              <w:t>ALICE DA SILVA RODRIGUES ROSAS</w:t>
            </w: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 xml:space="preserve"> M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embro</w:t>
            </w:r>
          </w:p>
        </w:tc>
      </w:tr>
      <w:tr w:rsidR="00633AD6">
        <w:tblPrEx>
          <w:tblCellMar>
            <w:top w:w="0pt" w:type="dxa"/>
            <w:bottom w:w="0pt" w:type="dxa"/>
          </w:tblCellMar>
        </w:tblPrEx>
        <w:tc>
          <w:tcPr>
            <w:tcW w:w="233.9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633AD6" w:rsidRDefault="00E96689">
            <w:pPr>
              <w:spacing w:after="0pt" w:line="12pt" w:lineRule="auto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488947</wp:posOffset>
                  </wp:positionH>
                  <wp:positionV relativeFrom="paragraph">
                    <wp:posOffset>128272</wp:posOffset>
                  </wp:positionV>
                  <wp:extent cx="1885950" cy="647696"/>
                  <wp:effectExtent l="0" t="0" r="19050" b="19054"/>
                  <wp:wrapNone/>
                  <wp:docPr id="5" name="Retângulo 2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696"/>
                          </a:xfrm>
                          <a:prstGeom prst="rect">
                            <a:avLst/>
                          </a:prstGeom>
                          <a:noFill/>
                          <a:ln w="12701" cap="flat">
                            <a:solidFill>
                              <a:srgbClr val="D9D9D9"/>
                            </a:solidFill>
                            <a:prstDash val="solid"/>
                            <a:miter/>
                          </a:ln>
                        </wp:spPr>
                        <wp:bodyPr lIns="0" tIns="0" rIns="0" bIns="0"/>
                      </wp:wsp>
                    </a:graphicData>
                  </a:graphic>
                </wp:anchor>
              </w:drawing>
            </w:r>
          </w:p>
          <w:p w:rsidR="00633AD6" w:rsidRDefault="00633AD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:rsidR="00633AD6" w:rsidRDefault="00633AD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:rsidR="00633AD6" w:rsidRDefault="00633AD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:rsidR="00633AD6" w:rsidRDefault="00633AD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:rsidR="00633AD6" w:rsidRDefault="00E96689">
            <w:pPr>
              <w:spacing w:after="0pt" w:line="12pt" w:lineRule="auto"/>
              <w:jc w:val="center"/>
            </w:pPr>
            <w:r>
              <w:rPr>
                <w:rFonts w:ascii="Times New Roman" w:eastAsia="Cambria" w:hAnsi="Times New Roman" w:cs="Times New Roman"/>
                <w:shd w:val="clear" w:color="auto" w:fill="FFFFFF"/>
              </w:rPr>
              <w:t>RUBENS FERNANDO P. DE CAMILLO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M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embro</w:t>
            </w:r>
          </w:p>
        </w:tc>
        <w:tc>
          <w:tcPr>
            <w:tcW w:w="223.4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633AD6" w:rsidRDefault="00E96689">
            <w:pPr>
              <w:spacing w:after="0pt" w:line="12pt" w:lineRule="auto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408937</wp:posOffset>
                  </wp:positionH>
                  <wp:positionV relativeFrom="paragraph">
                    <wp:posOffset>118113</wp:posOffset>
                  </wp:positionV>
                  <wp:extent cx="1885950" cy="647696"/>
                  <wp:effectExtent l="0" t="0" r="19050" b="19054"/>
                  <wp:wrapNone/>
                  <wp:docPr id="6" name="Retângulo 1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696"/>
                          </a:xfrm>
                          <a:prstGeom prst="rect">
                            <a:avLst/>
                          </a:prstGeom>
                          <a:noFill/>
                          <a:ln w="12701" cap="flat">
                            <a:solidFill>
                              <a:srgbClr val="D9D9D9"/>
                            </a:solidFill>
                            <a:prstDash val="solid"/>
                            <a:miter/>
                          </a:ln>
                        </wp:spPr>
                        <wp:txbx>
                          <wne:txbxContent>
                            <w:p w:rsidR="00633AD6" w:rsidRDefault="00633AD6">
                              <w:pPr>
                                <w:jc w:val="center"/>
                              </w:pPr>
                            </w:p>
                            <w:p w:rsidR="00633AD6" w:rsidRDefault="00633AD6">
                              <w:pPr>
                                <w:jc w:val="center"/>
                              </w:pPr>
                            </w:p>
                            <w:p w:rsidR="00633AD6" w:rsidRDefault="00633AD6">
                              <w:pPr>
                                <w:jc w:val="center"/>
                              </w:pPr>
                            </w:p>
                            <w:p w:rsidR="00633AD6" w:rsidRDefault="00633AD6">
                              <w:pPr>
                                <w:jc w:val="center"/>
                              </w:pPr>
                            </w:p>
                            <w:p w:rsidR="00633AD6" w:rsidRDefault="00633AD6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vert="horz" wrap="square" lIns="91440" tIns="45720" rIns="91440" bIns="45720" anchor="ctr" anchorCtr="0" compatLnSpc="1"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:rsidR="00633AD6" w:rsidRDefault="00633AD6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:rsidR="00633AD6" w:rsidRDefault="00633AD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:rsidR="00633AD6" w:rsidRDefault="00633AD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:rsidR="00633AD6" w:rsidRDefault="00633AD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:rsidR="00633AD6" w:rsidRDefault="00E96689">
            <w:pPr>
              <w:spacing w:after="0pt" w:line="12pt" w:lineRule="auto"/>
              <w:jc w:val="center"/>
            </w:pPr>
            <w:r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</w:p>
        </w:tc>
      </w:tr>
    </w:tbl>
    <w:p w:rsidR="00633AD6" w:rsidRDefault="00633AD6">
      <w:pPr>
        <w:rPr>
          <w:rFonts w:ascii="Times New Roman" w:hAnsi="Times New Roman"/>
          <w:lang w:eastAsia="pt-BR"/>
        </w:rPr>
      </w:pPr>
    </w:p>
    <w:sectPr w:rsidR="00633AD6">
      <w:headerReference w:type="default" r:id="rId7"/>
      <w:footerReference w:type="default" r:id="rId8"/>
      <w:pgSz w:w="595.30pt" w:h="841.90pt"/>
      <w:pgMar w:top="78pt" w:right="63.70pt" w:bottom="70.90pt" w:left="85.05pt" w:header="25.50pt" w:footer="49.75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00000" w:rsidRDefault="00E96689">
      <w:pPr>
        <w:spacing w:after="0pt" w:line="12pt" w:lineRule="auto"/>
      </w:pPr>
      <w:r>
        <w:separator/>
      </w:r>
    </w:p>
  </w:endnote>
  <w:endnote w:type="continuationSeparator" w:id="0">
    <w:p w:rsidR="00000000" w:rsidRDefault="00E96689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1F03DD" w:rsidRDefault="00E96689">
    <w:pPr>
      <w:pStyle w:val="Cabealho"/>
    </w:pPr>
    <w:r>
      <w:rPr>
        <w:noProof/>
        <w:color w:val="008080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96524</wp:posOffset>
          </wp:positionH>
          <wp:positionV relativeFrom="paragraph">
            <wp:posOffset>217170</wp:posOffset>
          </wp:positionV>
          <wp:extent cx="7559673" cy="719459"/>
          <wp:effectExtent l="0" t="0" r="3177" b="4441"/>
          <wp:wrapNone/>
          <wp:docPr id="2" name="Imagem 9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3" cy="7194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</w:t>
    </w:r>
    <w:r>
      <w:rPr>
        <w:rFonts w:ascii="Times New Roman" w:hAnsi="Times New Roman" w:cs="Times New Roman"/>
        <w:b w:val="0"/>
        <w:color w:val="006666"/>
        <w:sz w:val="18"/>
        <w:szCs w:val="18"/>
      </w:rPr>
      <w:t>DELIBERAÇÃO Nº 018/2022 – CEP – CAU/BR</w:t>
    </w:r>
    <w:r>
      <w:t xml:space="preserve">                                              </w:t>
    </w:r>
    <w:r>
      <w:rPr>
        <w:bCs/>
        <w:color w:val="008080"/>
      </w:rPr>
      <w:fldChar w:fldCharType="begin"/>
    </w:r>
    <w:r>
      <w:rPr>
        <w:bCs/>
        <w:color w:val="008080"/>
      </w:rPr>
      <w:instrText xml:space="preserve"> PAGE </w:instrText>
    </w:r>
    <w:r>
      <w:rPr>
        <w:bCs/>
        <w:color w:val="008080"/>
      </w:rPr>
      <w:fldChar w:fldCharType="separate"/>
    </w:r>
    <w:r>
      <w:rPr>
        <w:bCs/>
        <w:noProof/>
        <w:color w:val="008080"/>
      </w:rPr>
      <w:t>1</w:t>
    </w:r>
    <w:r>
      <w:rPr>
        <w:bCs/>
        <w:color w:val="008080"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00000" w:rsidRDefault="00E96689">
      <w:pPr>
        <w:spacing w:after="0pt" w:line="12pt" w:lineRule="auto"/>
      </w:pPr>
      <w:r>
        <w:separator/>
      </w:r>
    </w:p>
  </w:footnote>
  <w:footnote w:type="continuationSeparator" w:id="0">
    <w:p w:rsidR="00000000" w:rsidRDefault="00E96689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1F03DD" w:rsidRDefault="00E96689">
    <w:pPr>
      <w:pStyle w:val="Cabealho"/>
    </w:pPr>
    <w:r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-12060</wp:posOffset>
          </wp:positionH>
          <wp:positionV relativeFrom="paragraph">
            <wp:posOffset>-295908</wp:posOffset>
          </wp:positionV>
          <wp:extent cx="7560003" cy="1081433"/>
          <wp:effectExtent l="0" t="0" r="2847" b="4417"/>
          <wp:wrapNone/>
          <wp:docPr id="1" name="Imagem 8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10814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49E4342"/>
    <w:multiLevelType w:val="multilevel"/>
    <w:tmpl w:val="F2B8384E"/>
    <w:lvl w:ilvl="0">
      <w:start w:val="1"/>
      <w:numFmt w:val="lowerLetter"/>
      <w:lvlText w:val="%1)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42D065EB"/>
    <w:multiLevelType w:val="multilevel"/>
    <w:tmpl w:val="5A0C0018"/>
    <w:lvl w:ilvl="0">
      <w:start w:val="1"/>
      <w:numFmt w:val="lowerLetter"/>
      <w:lvlText w:val="%1)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attachedTemplate r:id="rId1"/>
  <w:defaultTabStop w:val="35.40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33AD6"/>
    <w:rsid w:val="00633AD6"/>
    <w:rsid w:val="00E9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EED1025-4445-413A-A725-008B7F1910B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8pt" w:line="12.80pt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</w:style>
  <w:style w:type="paragraph" w:styleId="PargrafodaLista">
    <w:name w:val="List Paragraph"/>
    <w:basedOn w:val="Normal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character" w:styleId="nfaseSutil">
    <w:name w:val="Subtle Emphasis"/>
    <w:basedOn w:val="Fontepargpadro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781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cep@caubr.gov.br</dc:creator>
  <dc:description/>
  <cp:lastModifiedBy>Viviane Pereira da Silva Viana</cp:lastModifiedBy>
  <cp:revision>2</cp:revision>
  <dcterms:created xsi:type="dcterms:W3CDTF">2022-05-26T13:54:00Z</dcterms:created>
  <dcterms:modified xsi:type="dcterms:W3CDTF">2022-05-26T13:54:00Z</dcterms:modified>
</cp:coreProperties>
</file>