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71C9A" w:rsidRPr="00271C9A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71722AE6" w:rsidR="00DA6E99" w:rsidRPr="00271C9A" w:rsidRDefault="00BE31B0" w:rsidP="00BE31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271C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4DAE10E6" w:rsidR="00784E39" w:rsidRPr="00271C9A" w:rsidRDefault="00BE31B0" w:rsidP="00BE3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</w:t>
            </w:r>
            <w:proofErr w:type="spellStart"/>
            <w:r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nº </w:t>
            </w:r>
            <w:r w:rsidR="00CF419C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1465595/2022</w:t>
            </w:r>
          </w:p>
        </w:tc>
      </w:tr>
      <w:tr w:rsidR="00271C9A" w:rsidRPr="00271C9A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271C9A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3DACB2D3" w:rsidR="00784E39" w:rsidRPr="00271C9A" w:rsidRDefault="00C2411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71C9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CF419C" w:rsidRPr="00271C9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MT</w:t>
            </w:r>
          </w:p>
        </w:tc>
      </w:tr>
      <w:tr w:rsidR="00271C9A" w:rsidRPr="00271C9A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271C9A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66DF7532" w:rsidR="00784E39" w:rsidRPr="00271C9A" w:rsidRDefault="005E076C" w:rsidP="005E07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Legitimidade da fiscalização do e</w:t>
            </w:r>
            <w:r w:rsidR="00BD05CF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xercício </w:t>
            </w:r>
            <w:r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i</w:t>
            </w:r>
            <w:r w:rsidR="00BD05CF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legal</w:t>
            </w:r>
            <w:r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da profissão</w:t>
            </w:r>
            <w:r w:rsidR="00BD05CF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por leigo</w:t>
            </w:r>
            <w:r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s</w:t>
            </w:r>
            <w:r w:rsidR="00BD05CF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e edição de ato normativo em conflito com normativo</w:t>
            </w:r>
            <w:r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s</w:t>
            </w:r>
            <w:r w:rsidR="00BD05CF" w:rsidRPr="00271C9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do CAU/BR</w:t>
            </w:r>
          </w:p>
        </w:tc>
      </w:tr>
    </w:tbl>
    <w:p w14:paraId="6663B943" w14:textId="3B699BEA" w:rsidR="00FD7F22" w:rsidRPr="00271C9A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23162B"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016</w:t>
      </w:r>
      <w:r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1AC73AAD" w14:textId="77777777" w:rsidR="00FD7F22" w:rsidRPr="00271C9A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22B192" w14:textId="7CB09DAC" w:rsidR="00784E39" w:rsidRPr="00271C9A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271C9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271C9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7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8</w:t>
      </w:r>
      <w:r w:rsidR="00672013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="00CD3537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16032D1F" w14:textId="77777777" w:rsidR="00784E39" w:rsidRPr="00271C9A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48A7A27" w14:textId="0EB33B1E" w:rsidR="00CF419C" w:rsidRPr="00271C9A" w:rsidRDefault="00CF419C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Ofício nº 203/2022/CTEC/PRES, da Presidência do CAU/MT, o qual encaminha contribuições e sugestões para aperfeiçoamento da Resolução CAU/BR nº 198, de 2020, referente a tramitação e regularização da infração de exercício ilegal da profiss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ão;</w:t>
      </w:r>
    </w:p>
    <w:p w14:paraId="1A0EAF0E" w14:textId="77777777" w:rsidR="00CF419C" w:rsidRPr="00271C9A" w:rsidRDefault="00CF419C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250A8C9" w14:textId="7BDEA61D" w:rsidR="00CF419C" w:rsidRPr="00271C9A" w:rsidRDefault="00CF419C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as sugestões encaminhadas estão inseridas na Portaria CAU/MT Nº 06/2021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14 de abril de 2021, que dispõe sobre os procedimentos a serem adotados pela Fiscalização do Conselho de Arquitetura e Urbanismo do Estado de Mato Grosso-CAU/MT, quando encontrado exerc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ício ilegal por pessoas físicas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não 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rquitetos e 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u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rbanistas</w:t>
      </w:r>
      <w:r w:rsidR="00AB3990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(leigos)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5B82F732" w14:textId="77777777" w:rsidR="0023162B" w:rsidRPr="00271C9A" w:rsidRDefault="0023162B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48C0C64" w14:textId="4853D9CB" w:rsidR="00F43B59" w:rsidRPr="00271C9A" w:rsidRDefault="0023162B" w:rsidP="00F43B5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que a edição 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da 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P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ortaria CAU/MT Nº 06/2021, de 2021, 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foi fundamentada nos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argumentos 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constantes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nº 597/2021 da CEP-CAU/MT, entre eles o de que “não há autorização legal para que o Conselho de Arquitetura e Urbanismo realize autuação em desfavor de NÃO arquitetos e urbanistas”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54FE3CAA" w14:textId="77777777" w:rsidR="00F43B59" w:rsidRPr="00271C9A" w:rsidRDefault="00F43B59" w:rsidP="00F43B5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488096" w14:textId="1329ECED" w:rsidR="00CC15A5" w:rsidRPr="00271C9A" w:rsidRDefault="009E3B5B" w:rsidP="007F793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 entretanto,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</w:t>
      </w:r>
      <w:r w:rsidR="00FE3EEA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 a autorização legal para fiscalização dos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não arquitetos e urbanistas</w:t>
      </w:r>
      <w:r w:rsidR="00FE3EEA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(</w:t>
      </w:r>
      <w:r w:rsidR="00FE3EEA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leigos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)</w:t>
      </w:r>
      <w:r w:rsidR="00FE3EEA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decorre do próprio art. 7º da </w:t>
      </w:r>
      <w:r w:rsidR="007F793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Lei nº 12.378, de 2010, que dispõe sobre o exercício ilegal da profissão, com as considerações apresentadas por meio da Nota Jurídica nº 11, de 18 de setembro de 2015, do Assessor-Chefe da Assessoria Jurídica do CAU/BR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4740A220" w14:textId="77777777" w:rsidR="00CC15A5" w:rsidRPr="00271C9A" w:rsidRDefault="00CC15A5" w:rsidP="007F793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84825F" w14:textId="113FF564" w:rsidR="000D75FB" w:rsidRPr="00271C9A" w:rsidRDefault="00CC15A5" w:rsidP="007F793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cartilha de “Orientações para os Conselhos de Fiscalização das Atividades Profissionais”, editada pelo Tribunal de Contas da União (órgão de fiscalização do CAU/BR e dos CAU/UF, na forma do art. 62 da Lei nº 12.378, de 2010), que estabelece à fl. 29: “Cabe a estas entidades [conselhos de fiscalização profissional], além de defender a sociedade, impedir que ocorra o exercício ilegal da profissão, tanto por aquele que possua habilitação, mas não segue a conduta estabelecida, tanto para o </w:t>
      </w:r>
      <w:r w:rsidRPr="00271C9A">
        <w:rPr>
          <w:rFonts w:ascii="Times New Roman" w:eastAsia="Cambria" w:hAnsi="Times New Roman" w:cs="Times New Roman"/>
          <w:b w:val="0"/>
          <w:color w:val="auto"/>
          <w:u w:val="single"/>
          <w:lang w:eastAsia="pt-BR"/>
        </w:rPr>
        <w:t>leigo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exerce alguma profissão cujo exercício dependa de habilitação”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(destacou-se);</w:t>
      </w:r>
    </w:p>
    <w:p w14:paraId="34AABD40" w14:textId="77777777" w:rsidR="009E3B5B" w:rsidRPr="00271C9A" w:rsidRDefault="009E3B5B" w:rsidP="00F43B5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900203" w14:textId="3DDFA00A" w:rsidR="00CF419C" w:rsidRPr="00271C9A" w:rsidRDefault="00CF419C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que a </w:t>
      </w:r>
      <w:r w:rsidR="006F6BD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Portaria CAU/MT Nº 06/2021, de 202</w:t>
      </w:r>
      <w:r w:rsidR="00B83FC7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1,</w:t>
      </w:r>
      <w:r w:rsidR="004873E7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é um ato em conflito com 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normativos</w:t>
      </w:r>
      <w:r w:rsidR="00D70DA1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do CAU/BR</w:t>
      </w:r>
      <w:r w:rsidR="00D70DA1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vigentes e dotados de presunção de legitimidade</w:t>
      </w:r>
      <w:r w:rsidR="004873E7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 tendo em vista que adota pr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ocedimento divergente no caso de constatação de ocorrência de infração a legislação por exercício ilegal da profissão por pessoa f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ísica leiga, ao não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adotar</w:t>
      </w:r>
      <w:r w:rsidR="00AA6671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 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lavratura do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auto de infração com a multa, 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mas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apenas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emissão da notificação preventiva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encaminh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amento de</w:t>
      </w:r>
      <w:r w:rsidR="00F43B59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ofício à Polícia Judiciária Civil e Prefei</w:t>
      </w:r>
      <w:r w:rsidR="00BD05C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tura Municipal do local do fato;</w:t>
      </w:r>
    </w:p>
    <w:p w14:paraId="58363635" w14:textId="77777777" w:rsidR="00F14CA6" w:rsidRPr="00271C9A" w:rsidRDefault="00F14CA6" w:rsidP="00C2411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083232E" w14:textId="0AE9192D" w:rsidR="00F14CA6" w:rsidRPr="00271C9A" w:rsidRDefault="00F14CA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que Portaria CAU/MT Nº 06/2021, de 2021, ao dispor contrariamente aos normativos do CAU/BR, viola o disposto no inciso II do art. 34 da Lei nº 12.378, de 2010, regulamentado pela Deliberação 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Plenária DPOBR nº 0071-08/2017,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26 de outubro de 2017,</w:t>
      </w:r>
      <w:r w:rsidR="0008108F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“</w:t>
      </w:r>
      <w:r w:rsidRPr="00271C9A">
        <w:rPr>
          <w:rFonts w:ascii="Times New Roman" w:eastAsia="Times New Roman" w:hAnsi="Times New Roman" w:cs="Times New Roman"/>
          <w:b w:val="0"/>
          <w:color w:val="auto"/>
          <w:lang w:eastAsia="pt-BR"/>
        </w:rPr>
        <w:t>Aprova as ações junto aos CAU/UF quando esses editarem atos em conflito com os normativos do CAU/BR”.</w:t>
      </w:r>
    </w:p>
    <w:p w14:paraId="4ED15A54" w14:textId="77777777" w:rsidR="00F14CA6" w:rsidRPr="00271C9A" w:rsidRDefault="00F14CA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271C9A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71C9A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271C9A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271C9A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2BC3948" w14:textId="22E4740A" w:rsidR="00BD05CF" w:rsidRPr="00271C9A" w:rsidRDefault="00D273AA" w:rsidP="00AA6671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color w:val="auto"/>
          <w:lang w:eastAsia="pt-BR"/>
        </w:rPr>
      </w:pPr>
      <w:r w:rsidRPr="00271C9A">
        <w:rPr>
          <w:rFonts w:ascii="Times New Roman" w:hAnsi="Times New Roman"/>
          <w:b w:val="0"/>
          <w:bCs/>
          <w:color w:val="auto"/>
          <w:lang w:eastAsia="pt-BR"/>
        </w:rPr>
        <w:t>Esclarecer que</w:t>
      </w:r>
      <w:r w:rsidR="003218DE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os CAU/UF </w:t>
      </w:r>
      <w:r w:rsidR="00D30B7F" w:rsidRPr="00271C9A">
        <w:rPr>
          <w:rFonts w:ascii="Times New Roman" w:hAnsi="Times New Roman"/>
          <w:b w:val="0"/>
          <w:bCs/>
          <w:color w:val="auto"/>
          <w:lang w:eastAsia="pt-BR"/>
        </w:rPr>
        <w:t>devem</w:t>
      </w:r>
      <w:r w:rsidR="003218DE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seguir os procedimentos disposto</w:t>
      </w:r>
      <w:r w:rsidR="00AA6671" w:rsidRPr="00271C9A">
        <w:rPr>
          <w:rFonts w:ascii="Times New Roman" w:hAnsi="Times New Roman"/>
          <w:b w:val="0"/>
          <w:bCs/>
          <w:color w:val="auto"/>
          <w:lang w:eastAsia="pt-BR"/>
        </w:rPr>
        <w:t>s</w:t>
      </w:r>
      <w:r w:rsidR="003218DE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no normativos editados pelo CAU/BR</w:t>
      </w:r>
      <w:r w:rsidR="00BD05CF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</w:t>
      </w:r>
      <w:r w:rsidR="003218DE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referente </w:t>
      </w:r>
      <w:r w:rsidR="001011C0" w:rsidRPr="00271C9A">
        <w:rPr>
          <w:rFonts w:ascii="Times New Roman" w:hAnsi="Times New Roman"/>
          <w:b w:val="0"/>
          <w:bCs/>
          <w:color w:val="auto"/>
          <w:lang w:eastAsia="pt-BR"/>
        </w:rPr>
        <w:t>à</w:t>
      </w:r>
      <w:r w:rsidR="003218DE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fiscalização do exercício da Arquitetura e Urbanismo,</w:t>
      </w:r>
      <w:r w:rsidR="00D30B7F"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nos quais inclui-se a </w:t>
      </w:r>
      <w:r w:rsidR="00D30B7F" w:rsidRPr="00271C9A">
        <w:rPr>
          <w:rFonts w:ascii="Times New Roman" w:hAnsi="Times New Roman"/>
          <w:b w:val="0"/>
          <w:bCs/>
          <w:color w:val="auto"/>
          <w:lang w:eastAsia="pt-BR"/>
        </w:rPr>
        <w:lastRenderedPageBreak/>
        <w:t>competência (poder-dever) para fiscalização do exercício ilegal da profissão por leigos, mediante autuação e aplicação de multa</w:t>
      </w:r>
      <w:r w:rsidR="003218D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1485E2C0" w14:textId="77777777" w:rsidR="0084262C" w:rsidRPr="00271C9A" w:rsidRDefault="0084262C" w:rsidP="0084262C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color w:val="auto"/>
          <w:lang w:eastAsia="pt-BR"/>
        </w:rPr>
      </w:pPr>
    </w:p>
    <w:p w14:paraId="788363AF" w14:textId="15F235EF" w:rsidR="00BD05CF" w:rsidRPr="00271C9A" w:rsidRDefault="00BD05CF" w:rsidP="003218DE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color w:val="auto"/>
          <w:lang w:eastAsia="pt-BR"/>
        </w:rPr>
      </w:pPr>
      <w:r w:rsidRPr="00271C9A">
        <w:rPr>
          <w:rFonts w:ascii="Times New Roman" w:hAnsi="Times New Roman"/>
          <w:b w:val="0"/>
          <w:bCs/>
          <w:color w:val="auto"/>
          <w:lang w:eastAsia="pt-BR"/>
        </w:rPr>
        <w:t>Orientar que, conforme disposto no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3218D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art. 33 da Resolução CAU/BR nº 22, de 2012 e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art. 85 da Resolução CAU/BR </w:t>
      </w:r>
      <w:r w:rsidR="005F259D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n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º 198, de 2010</w:t>
      </w:r>
      <w:r w:rsidR="003218D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casos </w:t>
      </w:r>
      <w:r w:rsidR="007E14D6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3218DE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que forem verificados indícios</w:t>
      </w:r>
      <w:r w:rsidRPr="00271C9A">
        <w:rPr>
          <w:rFonts w:ascii="Times New Roman" w:hAnsi="Times New Roman"/>
          <w:b w:val="0"/>
          <w:color w:val="auto"/>
          <w:lang w:eastAsia="pt-BR"/>
        </w:rPr>
        <w:t xml:space="preserve"> de violação à Lei das Contravenções Penais, </w:t>
      </w:r>
      <w:r w:rsidRPr="00271C9A">
        <w:rPr>
          <w:rFonts w:ascii="Times New Roman" w:hAnsi="Times New Roman"/>
          <w:color w:val="auto"/>
          <w:lang w:eastAsia="pt-BR"/>
        </w:rPr>
        <w:t xml:space="preserve">os fatos deverão ser </w:t>
      </w:r>
      <w:r w:rsidR="003218DE" w:rsidRPr="00271C9A">
        <w:rPr>
          <w:rFonts w:ascii="Times New Roman" w:hAnsi="Times New Roman"/>
          <w:color w:val="auto"/>
          <w:lang w:eastAsia="pt-BR"/>
        </w:rPr>
        <w:t xml:space="preserve">comunicados </w:t>
      </w:r>
      <w:r w:rsidRPr="00271C9A">
        <w:rPr>
          <w:rFonts w:ascii="Times New Roman" w:hAnsi="Times New Roman"/>
          <w:color w:val="auto"/>
          <w:lang w:eastAsia="pt-BR"/>
        </w:rPr>
        <w:t>às autoridades competentes</w:t>
      </w:r>
      <w:r w:rsidR="003218DE" w:rsidRPr="00271C9A">
        <w:rPr>
          <w:rFonts w:ascii="Times New Roman" w:hAnsi="Times New Roman"/>
          <w:b w:val="0"/>
          <w:color w:val="auto"/>
          <w:lang w:eastAsia="pt-BR"/>
        </w:rPr>
        <w:t xml:space="preserve">, sem prejuízo da aplicabilidade das penalidades previstas e sem a </w:t>
      </w:r>
      <w:r w:rsidRPr="00271C9A">
        <w:rPr>
          <w:rFonts w:ascii="Times New Roman" w:hAnsi="Times New Roman"/>
          <w:color w:val="auto"/>
          <w:lang w:eastAsia="pt-BR"/>
        </w:rPr>
        <w:t>paralisa</w:t>
      </w:r>
      <w:r w:rsidR="003218DE" w:rsidRPr="00271C9A">
        <w:rPr>
          <w:rFonts w:ascii="Times New Roman" w:hAnsi="Times New Roman"/>
          <w:color w:val="auto"/>
          <w:lang w:eastAsia="pt-BR"/>
        </w:rPr>
        <w:t>ção</w:t>
      </w:r>
      <w:r w:rsidRPr="00271C9A">
        <w:rPr>
          <w:rFonts w:ascii="Times New Roman" w:hAnsi="Times New Roman"/>
          <w:color w:val="auto"/>
          <w:lang w:eastAsia="pt-BR"/>
        </w:rPr>
        <w:t xml:space="preserve"> </w:t>
      </w:r>
      <w:r w:rsidR="007E14D6" w:rsidRPr="00271C9A">
        <w:rPr>
          <w:rFonts w:ascii="Times New Roman" w:hAnsi="Times New Roman"/>
          <w:color w:val="auto"/>
          <w:lang w:eastAsia="pt-BR"/>
        </w:rPr>
        <w:t>d</w:t>
      </w:r>
      <w:r w:rsidRPr="00271C9A">
        <w:rPr>
          <w:rFonts w:ascii="Times New Roman" w:hAnsi="Times New Roman"/>
          <w:color w:val="auto"/>
          <w:lang w:eastAsia="pt-BR"/>
        </w:rPr>
        <w:t xml:space="preserve">o procedimento ou </w:t>
      </w:r>
      <w:r w:rsidR="007E14D6" w:rsidRPr="00271C9A">
        <w:rPr>
          <w:rFonts w:ascii="Times New Roman" w:hAnsi="Times New Roman"/>
          <w:color w:val="auto"/>
          <w:lang w:eastAsia="pt-BR"/>
        </w:rPr>
        <w:t>d</w:t>
      </w:r>
      <w:r w:rsidRPr="00271C9A">
        <w:rPr>
          <w:rFonts w:ascii="Times New Roman" w:hAnsi="Times New Roman"/>
          <w:color w:val="auto"/>
          <w:lang w:eastAsia="pt-BR"/>
        </w:rPr>
        <w:t>o processo de fiscalização</w:t>
      </w:r>
      <w:r w:rsidR="00C24119" w:rsidRPr="00271C9A">
        <w:rPr>
          <w:rFonts w:ascii="Times New Roman" w:hAnsi="Times New Roman"/>
          <w:b w:val="0"/>
          <w:color w:val="auto"/>
          <w:lang w:eastAsia="pt-BR"/>
        </w:rPr>
        <w:t>; e</w:t>
      </w:r>
    </w:p>
    <w:p w14:paraId="3B3D554B" w14:textId="77777777" w:rsidR="003016F2" w:rsidRPr="00271C9A" w:rsidRDefault="003016F2" w:rsidP="003016F2">
      <w:pPr>
        <w:pStyle w:val="PargrafodaLista"/>
        <w:rPr>
          <w:rFonts w:ascii="Times New Roman" w:hAnsi="Times New Roman"/>
          <w:b/>
          <w:lang w:eastAsia="pt-BR"/>
        </w:rPr>
      </w:pPr>
    </w:p>
    <w:p w14:paraId="2023154A" w14:textId="1C3A9ABC" w:rsidR="003016F2" w:rsidRPr="00271C9A" w:rsidRDefault="003016F2" w:rsidP="00E7627D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i/>
          <w:color w:val="auto"/>
          <w:lang w:eastAsia="pt-BR"/>
        </w:rPr>
      </w:pPr>
      <w:r w:rsidRPr="00271C9A">
        <w:rPr>
          <w:rFonts w:ascii="Times New Roman" w:hAnsi="Times New Roman"/>
          <w:b w:val="0"/>
          <w:bCs/>
          <w:color w:val="auto"/>
          <w:lang w:eastAsia="pt-BR"/>
        </w:rPr>
        <w:t>Aprovar pedido de suspensão da Portaria CAU/MT Nº 06/2021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, de 14 de abril de 2021,</w:t>
      </w:r>
      <w:r w:rsidRPr="00271C9A">
        <w:rPr>
          <w:rFonts w:ascii="Times New Roman" w:hAnsi="Times New Roman"/>
          <w:b w:val="0"/>
          <w:bCs/>
          <w:color w:val="auto"/>
          <w:lang w:eastAsia="pt-BR"/>
        </w:rPr>
        <w:t xml:space="preserve"> e solicitar à Presidência do CAU/BR que encaminhe ofício ao CAU/MT notificando-o do prazo de 30 (trinta) dias para apresentação de contestação, na forma do item 1, alíneas “a” e “b”, da </w:t>
      </w: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Plenária DPOBR nº 0071-08/2017, de 26 de outubro de 2017;</w:t>
      </w:r>
    </w:p>
    <w:p w14:paraId="7DA03B96" w14:textId="77777777" w:rsidR="00FE5765" w:rsidRPr="00271C9A" w:rsidRDefault="00FE5765" w:rsidP="00FE5765">
      <w:pPr>
        <w:pStyle w:val="PargrafodaLista"/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61FE6CE" w14:textId="77777777" w:rsidR="00912C6D" w:rsidRPr="00271C9A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271C9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Pr="00271C9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139"/>
        <w:gridCol w:w="2268"/>
      </w:tblGrid>
      <w:tr w:rsidR="00271C9A" w:rsidRPr="00271C9A" w14:paraId="004EAB7D" w14:textId="77777777" w:rsidTr="001C2137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SETOR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DEMANDA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bCs/>
                <w:color w:val="auto"/>
                <w:lang w:eastAsia="pt-BR"/>
              </w:rPr>
              <w:t>PRAZO</w:t>
            </w:r>
          </w:p>
        </w:tc>
      </w:tr>
      <w:tr w:rsidR="00271C9A" w:rsidRPr="00271C9A" w14:paraId="77F3A489" w14:textId="77777777" w:rsidTr="001C213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>SGM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00231122" w:rsidR="00912C6D" w:rsidRPr="00271C9A" w:rsidRDefault="00C24119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>Encaminhar à Presidência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2ADD6FDB" w:rsidR="00912C6D" w:rsidRPr="00271C9A" w:rsidRDefault="00BE31B0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>5 dias</w:t>
            </w:r>
          </w:p>
        </w:tc>
      </w:tr>
      <w:tr w:rsidR="00271C9A" w:rsidRPr="00271C9A" w14:paraId="1A61D3BD" w14:textId="77777777" w:rsidTr="001C213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1933" w14:textId="77777777" w:rsidR="00912C6D" w:rsidRPr="00271C9A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9610" w14:textId="0CB80B0E" w:rsidR="00912C6D" w:rsidRPr="00271C9A" w:rsidRDefault="00C24119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>Presidência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CA2B" w14:textId="311AA14C" w:rsidR="00912C6D" w:rsidRPr="00271C9A" w:rsidRDefault="00C24119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>Notificar o CAU/MT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8BBF" w14:textId="1D01F233" w:rsidR="00912C6D" w:rsidRPr="00271C9A" w:rsidRDefault="00C24119" w:rsidP="00BE31B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271C9A">
              <w:rPr>
                <w:rFonts w:ascii="Times New Roman" w:hAnsi="Times New Roman"/>
                <w:b w:val="0"/>
                <w:color w:val="auto"/>
                <w:lang w:eastAsia="pt-BR"/>
              </w:rPr>
              <w:t>A ser definido</w:t>
            </w:r>
          </w:p>
        </w:tc>
      </w:tr>
    </w:tbl>
    <w:p w14:paraId="51052473" w14:textId="77777777" w:rsidR="00912C6D" w:rsidRPr="00271C9A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77777777" w:rsidR="00BC30C5" w:rsidRPr="00271C9A" w:rsidRDefault="00BC30C5" w:rsidP="00912C6D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71C9A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3CD5B25B" w14:textId="549A8B1A" w:rsidR="003560A0" w:rsidRPr="00271C9A" w:rsidRDefault="003560A0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15102AB5" w:rsidR="00BB1EA6" w:rsidRPr="00271C9A" w:rsidRDefault="003560A0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Brasília, 8 de abril</w:t>
      </w:r>
      <w:r w:rsidR="00604026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0109C2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604026" w:rsidRPr="00271C9A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CE3DE58" w14:textId="77777777" w:rsidR="003560A0" w:rsidRPr="00271C9A" w:rsidRDefault="003560A0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71C9A" w:rsidRPr="00271C9A" w14:paraId="2ABF184B" w14:textId="77777777" w:rsidTr="007B6FB3">
        <w:tc>
          <w:tcPr>
            <w:tcW w:w="4678" w:type="dxa"/>
          </w:tcPr>
          <w:p w14:paraId="3C360355" w14:textId="04D0267D" w:rsidR="00C57EF0" w:rsidRPr="00271C9A" w:rsidRDefault="005F259D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C502A5" wp14:editId="0B48D997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5792EE3" id="Retângulo 3" o:spid="_x0000_s1026" style="position:absolute;margin-left:38.3pt;margin-top:7.95pt;width:148.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egYJt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F2A9C55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271C9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271C9A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4468" w:type="dxa"/>
          </w:tcPr>
          <w:p w14:paraId="2473A647" w14:textId="6EA65DDC" w:rsidR="00C57EF0" w:rsidRPr="00271C9A" w:rsidRDefault="005F259D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032073" wp14:editId="60D1E0B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F13B4AF" id="Retângulo 4" o:spid="_x0000_s1026" style="position:absolute;margin-left:34pt;margin-top:8.05pt;width:148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8w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c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Cce8w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3BEBDC6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rFonts w:ascii="Times New Roman" w:eastAsia="Cambria" w:hAnsi="Times New Roman" w:cs="Times New Roman"/>
                <w:color w:val="auto"/>
              </w:rPr>
              <w:t>ANA CRISTINA LIMA B. DA SILVA</w:t>
            </w:r>
            <w:r w:rsidRPr="00271C9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271C9A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271C9A" w:rsidRPr="00271C9A" w14:paraId="614835CF" w14:textId="77777777" w:rsidTr="007B6FB3">
        <w:tc>
          <w:tcPr>
            <w:tcW w:w="4678" w:type="dxa"/>
          </w:tcPr>
          <w:p w14:paraId="130974B7" w14:textId="5CBC25C2" w:rsidR="00C57EF0" w:rsidRPr="00271C9A" w:rsidRDefault="005F259D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71C9A">
              <w:rPr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00B191" wp14:editId="5F47B373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06759D7" id="Retângulo 5" o:spid="_x0000_s1026" style="position:absolute;margin-left:38.5pt;margin-top:10.1pt;width:14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PwPWI2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CCF3C7B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6D1AAF8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rFonts w:ascii="Times New Roman" w:eastAsia="Cambria" w:hAnsi="Times New Roman" w:cs="Times New Roman"/>
                <w:color w:val="auto"/>
              </w:rPr>
              <w:t>ALICE DA SILVA RODRIGUES ROSAS</w:t>
            </w:r>
            <w:r w:rsidRPr="00271C9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271C9A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2219FF72" w14:textId="1BD285EF" w:rsidR="00C57EF0" w:rsidRPr="00271C9A" w:rsidRDefault="005F259D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71C9A">
              <w:rPr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A9070F" wp14:editId="0AD80207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354CBC" w14:textId="77777777" w:rsidR="00C57EF0" w:rsidRDefault="00C57EF0" w:rsidP="00C57E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4A9070F" id="Retângulo 6" o:spid="_x0000_s1026" style="position:absolute;left:0;text-align:left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HyyPW2WAgAAHg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62354CBC" w14:textId="77777777" w:rsidR="00C57EF0" w:rsidRDefault="00C57EF0" w:rsidP="00C57E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697D7F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EF3D38E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rFonts w:ascii="Times New Roman" w:eastAsia="Cambria" w:hAnsi="Times New Roman" w:cs="Times New Roman"/>
                <w:bCs/>
                <w:color w:val="auto"/>
              </w:rPr>
              <w:t>GUIVALDO D´ALEXANDRIA BAPTISTA</w:t>
            </w:r>
            <w:r w:rsidRPr="00271C9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271C9A" w:rsidRPr="00271C9A" w14:paraId="1C2B4D34" w14:textId="77777777" w:rsidTr="007B6FB3">
        <w:tc>
          <w:tcPr>
            <w:tcW w:w="4678" w:type="dxa"/>
          </w:tcPr>
          <w:p w14:paraId="2A45200A" w14:textId="4AABAF8D" w:rsidR="00C57EF0" w:rsidRPr="00271C9A" w:rsidRDefault="005F259D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8075D5" wp14:editId="3534EE6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F66E0C3" id="Retângulo 7" o:spid="_x0000_s1026" style="position:absolute;margin-left:36.25pt;margin-top:10.4pt;width:148.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8EAF14E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4BF77361" w:rsidR="00C57EF0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41572EB1" w:rsidR="00C57EF0" w:rsidRPr="00271C9A" w:rsidRDefault="001A7A90" w:rsidP="001A7A9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71C9A">
              <w:rPr>
                <w:rFonts w:ascii="Times New Roman" w:eastAsia="Cambria" w:hAnsi="Times New Roman" w:cs="Times New Roman"/>
                <w:color w:val="auto"/>
                <w:shd w:val="clear" w:color="auto" w:fill="FFFFFF"/>
              </w:rPr>
              <w:t>RUBENS FERNANDO P. DE CAMILLO</w:t>
            </w:r>
            <w:r w:rsidRPr="00271C9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271C9A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4468" w:type="dxa"/>
          </w:tcPr>
          <w:p w14:paraId="13CD493A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271C9A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5A99EA5D" w14:textId="77777777" w:rsidR="00A70835" w:rsidRPr="00271C9A" w:rsidRDefault="00A70835" w:rsidP="00D340C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A70835" w:rsidRPr="00271C9A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1D41" w14:textId="77777777" w:rsidR="00674065" w:rsidRDefault="00674065" w:rsidP="00783D72">
      <w:pPr>
        <w:spacing w:after="0" w:line="240" w:lineRule="auto"/>
      </w:pPr>
      <w:r>
        <w:separator/>
      </w:r>
    </w:p>
  </w:endnote>
  <w:endnote w:type="continuationSeparator" w:id="0">
    <w:p w14:paraId="0EE5929B" w14:textId="77777777" w:rsidR="00674065" w:rsidRDefault="0067406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66584BD" w:rsidR="00C25F47" w:rsidRPr="00BA0D9C" w:rsidRDefault="001A7A90" w:rsidP="00BA0D9C">
        <w:pPr>
          <w:pStyle w:val="Rodap"/>
          <w:jc w:val="right"/>
          <w:rPr>
            <w:b w:val="0"/>
            <w:bCs/>
            <w:color w:val="008080"/>
          </w:rPr>
        </w:pPr>
        <w:r w:rsidRPr="001A7A9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016/2022-CEP–CAU/BR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         </w:t>
        </w:r>
        <w:r w:rsidR="00706718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1C2137">
          <w:rPr>
            <w:bCs/>
            <w:noProof/>
            <w:color w:val="008080"/>
          </w:rPr>
          <w:t>1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3F19" w14:textId="77777777" w:rsidR="00674065" w:rsidRDefault="00674065" w:rsidP="00783D72">
      <w:pPr>
        <w:spacing w:after="0" w:line="240" w:lineRule="auto"/>
      </w:pPr>
      <w:r>
        <w:separator/>
      </w:r>
    </w:p>
  </w:footnote>
  <w:footnote w:type="continuationSeparator" w:id="0">
    <w:p w14:paraId="254C77B3" w14:textId="77777777" w:rsidR="00674065" w:rsidRDefault="0067406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1E9CBE5A"/>
    <w:lvl w:ilvl="0" w:tplc="1730E7BA">
      <w:start w:val="1"/>
      <w:numFmt w:val="decimal"/>
      <w:lvlText w:val="%1-"/>
      <w:lvlJc w:val="left"/>
      <w:pPr>
        <w:ind w:left="720" w:hanging="360"/>
      </w:pPr>
      <w:rPr>
        <w:b w:val="0"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514DC"/>
    <w:rsid w:val="0008108F"/>
    <w:rsid w:val="000A5BF9"/>
    <w:rsid w:val="000B3776"/>
    <w:rsid w:val="000B4847"/>
    <w:rsid w:val="000D75FB"/>
    <w:rsid w:val="001011C0"/>
    <w:rsid w:val="001127C6"/>
    <w:rsid w:val="00115F41"/>
    <w:rsid w:val="001370DC"/>
    <w:rsid w:val="00146069"/>
    <w:rsid w:val="00151FEA"/>
    <w:rsid w:val="0018099F"/>
    <w:rsid w:val="00193E0F"/>
    <w:rsid w:val="001A7A90"/>
    <w:rsid w:val="001B20D4"/>
    <w:rsid w:val="001C1B20"/>
    <w:rsid w:val="001C2137"/>
    <w:rsid w:val="001E3E4B"/>
    <w:rsid w:val="001E48CD"/>
    <w:rsid w:val="001E5364"/>
    <w:rsid w:val="002009ED"/>
    <w:rsid w:val="0023162B"/>
    <w:rsid w:val="00271C9A"/>
    <w:rsid w:val="00277F51"/>
    <w:rsid w:val="003016F2"/>
    <w:rsid w:val="003218DE"/>
    <w:rsid w:val="003560A0"/>
    <w:rsid w:val="003561C1"/>
    <w:rsid w:val="00374957"/>
    <w:rsid w:val="003C65E8"/>
    <w:rsid w:val="003E5761"/>
    <w:rsid w:val="00424D38"/>
    <w:rsid w:val="00430318"/>
    <w:rsid w:val="00442E1A"/>
    <w:rsid w:val="00480A51"/>
    <w:rsid w:val="004873E7"/>
    <w:rsid w:val="005147EF"/>
    <w:rsid w:val="005868D5"/>
    <w:rsid w:val="005A232A"/>
    <w:rsid w:val="005A357B"/>
    <w:rsid w:val="005E076C"/>
    <w:rsid w:val="005F259D"/>
    <w:rsid w:val="00604026"/>
    <w:rsid w:val="00672013"/>
    <w:rsid w:val="00674065"/>
    <w:rsid w:val="00676D60"/>
    <w:rsid w:val="006D5261"/>
    <w:rsid w:val="006F6BDD"/>
    <w:rsid w:val="00706718"/>
    <w:rsid w:val="00715B28"/>
    <w:rsid w:val="00755049"/>
    <w:rsid w:val="007662F7"/>
    <w:rsid w:val="00783D72"/>
    <w:rsid w:val="00784E39"/>
    <w:rsid w:val="0079679F"/>
    <w:rsid w:val="007A7411"/>
    <w:rsid w:val="007B311A"/>
    <w:rsid w:val="007C25B8"/>
    <w:rsid w:val="007D663B"/>
    <w:rsid w:val="007E14D6"/>
    <w:rsid w:val="007F793E"/>
    <w:rsid w:val="00812CE5"/>
    <w:rsid w:val="008140F1"/>
    <w:rsid w:val="00835EB9"/>
    <w:rsid w:val="0084262C"/>
    <w:rsid w:val="008D5192"/>
    <w:rsid w:val="00912C6D"/>
    <w:rsid w:val="009141FA"/>
    <w:rsid w:val="0091488D"/>
    <w:rsid w:val="00946D11"/>
    <w:rsid w:val="0096301B"/>
    <w:rsid w:val="00964AA2"/>
    <w:rsid w:val="00965755"/>
    <w:rsid w:val="009A07CE"/>
    <w:rsid w:val="009A7A63"/>
    <w:rsid w:val="009E3B5B"/>
    <w:rsid w:val="009F5860"/>
    <w:rsid w:val="00A1498F"/>
    <w:rsid w:val="00A409A5"/>
    <w:rsid w:val="00A43CFF"/>
    <w:rsid w:val="00A61DCF"/>
    <w:rsid w:val="00A70835"/>
    <w:rsid w:val="00AA6671"/>
    <w:rsid w:val="00AB3990"/>
    <w:rsid w:val="00AC61CD"/>
    <w:rsid w:val="00B047DE"/>
    <w:rsid w:val="00B14072"/>
    <w:rsid w:val="00B83FC7"/>
    <w:rsid w:val="00BA0D9C"/>
    <w:rsid w:val="00BA4B06"/>
    <w:rsid w:val="00BA701E"/>
    <w:rsid w:val="00BB1EA6"/>
    <w:rsid w:val="00BC30C5"/>
    <w:rsid w:val="00BD05CF"/>
    <w:rsid w:val="00BD3797"/>
    <w:rsid w:val="00BE31B0"/>
    <w:rsid w:val="00BE32D6"/>
    <w:rsid w:val="00BF1E43"/>
    <w:rsid w:val="00C00FD5"/>
    <w:rsid w:val="00C0125D"/>
    <w:rsid w:val="00C24119"/>
    <w:rsid w:val="00C25F47"/>
    <w:rsid w:val="00C40A6B"/>
    <w:rsid w:val="00C52D3A"/>
    <w:rsid w:val="00C57EF0"/>
    <w:rsid w:val="00C90D5F"/>
    <w:rsid w:val="00CC15A5"/>
    <w:rsid w:val="00CD3537"/>
    <w:rsid w:val="00CE13EE"/>
    <w:rsid w:val="00CF419C"/>
    <w:rsid w:val="00D26145"/>
    <w:rsid w:val="00D26370"/>
    <w:rsid w:val="00D273AA"/>
    <w:rsid w:val="00D30B7F"/>
    <w:rsid w:val="00D340CE"/>
    <w:rsid w:val="00D46F08"/>
    <w:rsid w:val="00D70DA1"/>
    <w:rsid w:val="00D7374F"/>
    <w:rsid w:val="00D84324"/>
    <w:rsid w:val="00D86221"/>
    <w:rsid w:val="00D9241C"/>
    <w:rsid w:val="00DA6E99"/>
    <w:rsid w:val="00DB2DA6"/>
    <w:rsid w:val="00DC1E4C"/>
    <w:rsid w:val="00DF28ED"/>
    <w:rsid w:val="00DF7344"/>
    <w:rsid w:val="00DF7B85"/>
    <w:rsid w:val="00E625E1"/>
    <w:rsid w:val="00E66B3C"/>
    <w:rsid w:val="00E74517"/>
    <w:rsid w:val="00E96D78"/>
    <w:rsid w:val="00EB1374"/>
    <w:rsid w:val="00ED4EE0"/>
    <w:rsid w:val="00ED7498"/>
    <w:rsid w:val="00F14CA6"/>
    <w:rsid w:val="00F16916"/>
    <w:rsid w:val="00F22166"/>
    <w:rsid w:val="00F22E1A"/>
    <w:rsid w:val="00F32C3A"/>
    <w:rsid w:val="00F43B59"/>
    <w:rsid w:val="00FD7F22"/>
    <w:rsid w:val="00FE3EEA"/>
    <w:rsid w:val="00FE5765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F25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5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59D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59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59D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CEP - CAU/BR</cp:lastModifiedBy>
  <cp:revision>6</cp:revision>
  <dcterms:created xsi:type="dcterms:W3CDTF">2022-04-18T14:47:00Z</dcterms:created>
  <dcterms:modified xsi:type="dcterms:W3CDTF">2022-04-20T13:43:00Z</dcterms:modified>
</cp:coreProperties>
</file>