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conformance="strict">
  <w:body>
    <w:p w:rsidR="00CA4868" w:rsidRDefault="00CA4868">
      <w:pPr>
        <w:jc w:val="both"/>
        <w:rPr>
          <w:rFonts w:ascii="Times New Roman" w:hAnsi="Times New Roman"/>
          <w:sz w:val="22"/>
          <w:szCs w:val="22"/>
          <w:lang w:eastAsia="pt-BR"/>
        </w:rPr>
      </w:pPr>
    </w:p>
    <w:tbl>
      <w:tblPr>
        <w:tblW w:w="459.50pt" w:type="dxa"/>
        <w:jc w:val="center"/>
        <w:tblLayout w:type="fixed"/>
        <w:tblCellMar>
          <w:start w:w="0.50pt" w:type="dxa"/>
          <w:end w:w="0.50pt" w:type="dxa"/>
        </w:tblCellMar>
        <w:tblLook w:firstRow="0" w:lastRow="0" w:firstColumn="0" w:lastColumn="0" w:noHBand="0" w:noVBand="0"/>
      </w:tblPr>
      <w:tblGrid>
        <w:gridCol w:w="1974"/>
        <w:gridCol w:w="7216"/>
      </w:tblGrid>
      <w:tr w:rsidR="00CA4868">
        <w:tblPrEx>
          <w:tblCellMar>
            <w:top w:w="0pt" w:type="dxa"/>
            <w:bottom w:w="0pt" w:type="dxa"/>
          </w:tblCellMar>
        </w:tblPrEx>
        <w:trPr>
          <w:cantSplit/>
          <w:trHeight w:val="283"/>
          <w:jc w:val="center"/>
        </w:trPr>
        <w:tc>
          <w:tcPr>
            <w:tcW w:w="98.70pt" w:type="dxa"/>
            <w:tcBorders>
              <w:top w:val="single" w:sz="4" w:space="0" w:color="7F7F7F"/>
              <w:bottom w:val="single" w:sz="4" w:space="0" w:color="7F7F7F"/>
              <w:end w:val="single" w:sz="4" w:space="0" w:color="7F7F7F"/>
            </w:tcBorders>
            <w:shd w:val="clear" w:color="auto" w:fill="F2F2F2"/>
            <w:tcMar>
              <w:top w:w="0pt" w:type="dxa"/>
              <w:start w:w="5.65pt" w:type="dxa"/>
              <w:bottom w:w="0pt" w:type="dxa"/>
              <w:end w:w="5.65pt" w:type="dxa"/>
            </w:tcMar>
            <w:vAlign w:val="center"/>
          </w:tcPr>
          <w:p w:rsidR="00CA4868" w:rsidRDefault="003067E0">
            <w:pPr>
              <w:rPr>
                <w:rFonts w:ascii="Times New Roman" w:hAnsi="Times New Roman"/>
                <w:lang w:eastAsia="pt-BR"/>
              </w:rPr>
            </w:pPr>
            <w:r>
              <w:rPr>
                <w:rFonts w:ascii="Times New Roman" w:hAnsi="Times New Roman"/>
                <w:sz w:val="22"/>
                <w:szCs w:val="22"/>
                <w:lang w:eastAsia="pt-BR"/>
              </w:rPr>
              <w:t>PROCESSO</w:t>
            </w:r>
          </w:p>
        </w:tc>
        <w:tc>
          <w:tcPr>
            <w:tcW w:w="360.80pt" w:type="dxa"/>
            <w:tcBorders>
              <w:top w:val="single" w:sz="4" w:space="0" w:color="7F7F7F"/>
              <w:start w:val="single" w:sz="4" w:space="0" w:color="7F7F7F"/>
              <w:bottom w:val="single" w:sz="4" w:space="0" w:color="7F7F7F"/>
            </w:tcBorders>
            <w:tcMar>
              <w:top w:w="0pt" w:type="dxa"/>
              <w:start w:w="5.65pt" w:type="dxa"/>
              <w:bottom w:w="0pt" w:type="dxa"/>
              <w:end w:w="5.65pt" w:type="dxa"/>
            </w:tcMar>
            <w:vAlign w:val="center"/>
          </w:tcPr>
          <w:p w:rsidR="00CA4868" w:rsidRDefault="00CA4868">
            <w:pPr>
              <w:widowControl w:val="0"/>
              <w:rPr>
                <w:rFonts w:ascii="Times New Roman" w:hAnsi="Times New Roman"/>
                <w:bCs/>
                <w:lang w:eastAsia="pt-BR"/>
              </w:rPr>
            </w:pPr>
          </w:p>
        </w:tc>
      </w:tr>
      <w:tr w:rsidR="00CA4868">
        <w:tblPrEx>
          <w:tblCellMar>
            <w:top w:w="0pt" w:type="dxa"/>
            <w:bottom w:w="0pt" w:type="dxa"/>
          </w:tblCellMar>
        </w:tblPrEx>
        <w:trPr>
          <w:cantSplit/>
          <w:trHeight w:val="283"/>
          <w:jc w:val="center"/>
        </w:trPr>
        <w:tc>
          <w:tcPr>
            <w:tcW w:w="98.70pt" w:type="dxa"/>
            <w:tcBorders>
              <w:top w:val="single" w:sz="4" w:space="0" w:color="7F7F7F"/>
              <w:bottom w:val="single" w:sz="4" w:space="0" w:color="7F7F7F"/>
              <w:end w:val="single" w:sz="4" w:space="0" w:color="7F7F7F"/>
            </w:tcBorders>
            <w:shd w:val="clear" w:color="auto" w:fill="F2F2F2"/>
            <w:tcMar>
              <w:top w:w="0pt" w:type="dxa"/>
              <w:start w:w="5.65pt" w:type="dxa"/>
              <w:bottom w:w="0pt" w:type="dxa"/>
              <w:end w:w="5.65pt" w:type="dxa"/>
            </w:tcMar>
            <w:vAlign w:val="center"/>
          </w:tcPr>
          <w:p w:rsidR="00CA4868" w:rsidRDefault="003067E0">
            <w:pPr>
              <w:rPr>
                <w:rFonts w:ascii="Times New Roman" w:hAnsi="Times New Roman"/>
                <w:lang w:eastAsia="pt-BR"/>
              </w:rPr>
            </w:pPr>
            <w:r>
              <w:rPr>
                <w:rFonts w:ascii="Times New Roman" w:hAnsi="Times New Roman"/>
                <w:sz w:val="22"/>
                <w:szCs w:val="22"/>
                <w:lang w:eastAsia="pt-BR"/>
              </w:rPr>
              <w:t>INTERESSADO</w:t>
            </w:r>
          </w:p>
        </w:tc>
        <w:tc>
          <w:tcPr>
            <w:tcW w:w="360.80pt" w:type="dxa"/>
            <w:tcBorders>
              <w:top w:val="single" w:sz="4" w:space="0" w:color="7F7F7F"/>
              <w:start w:val="single" w:sz="4" w:space="0" w:color="7F7F7F"/>
              <w:bottom w:val="single" w:sz="4" w:space="0" w:color="7F7F7F"/>
            </w:tcBorders>
            <w:tcMar>
              <w:top w:w="0pt" w:type="dxa"/>
              <w:start w:w="5.65pt" w:type="dxa"/>
              <w:bottom w:w="0pt" w:type="dxa"/>
              <w:end w:w="5.65pt" w:type="dxa"/>
            </w:tcMar>
            <w:vAlign w:val="center"/>
          </w:tcPr>
          <w:p w:rsidR="00CA4868" w:rsidRDefault="003067E0">
            <w:pPr>
              <w:widowControl w:val="0"/>
              <w:rPr>
                <w:rFonts w:ascii="Times New Roman" w:hAnsi="Times New Roman"/>
                <w:bCs/>
                <w:lang w:eastAsia="pt-BR"/>
              </w:rPr>
            </w:pPr>
            <w:r>
              <w:rPr>
                <w:rFonts w:ascii="Times New Roman" w:hAnsi="Times New Roman"/>
                <w:bCs/>
                <w:sz w:val="22"/>
                <w:szCs w:val="22"/>
                <w:lang w:eastAsia="pt-BR"/>
              </w:rPr>
              <w:t>CAU/BR</w:t>
            </w:r>
          </w:p>
        </w:tc>
      </w:tr>
      <w:tr w:rsidR="00CA4868">
        <w:tblPrEx>
          <w:tblCellMar>
            <w:top w:w="0pt" w:type="dxa"/>
            <w:bottom w:w="0pt" w:type="dxa"/>
          </w:tblCellMar>
        </w:tblPrEx>
        <w:trPr>
          <w:cantSplit/>
          <w:trHeight w:val="283"/>
          <w:jc w:val="center"/>
        </w:trPr>
        <w:tc>
          <w:tcPr>
            <w:tcW w:w="98.70pt" w:type="dxa"/>
            <w:tcBorders>
              <w:top w:val="single" w:sz="4" w:space="0" w:color="7F7F7F"/>
              <w:bottom w:val="single" w:sz="4" w:space="0" w:color="7F7F7F"/>
              <w:end w:val="single" w:sz="4" w:space="0" w:color="7F7F7F"/>
            </w:tcBorders>
            <w:shd w:val="clear" w:color="auto" w:fill="F2F2F2"/>
            <w:tcMar>
              <w:top w:w="0pt" w:type="dxa"/>
              <w:start w:w="5.65pt" w:type="dxa"/>
              <w:bottom w:w="0pt" w:type="dxa"/>
              <w:end w:w="5.65pt" w:type="dxa"/>
            </w:tcMar>
            <w:vAlign w:val="center"/>
          </w:tcPr>
          <w:p w:rsidR="00CA4868" w:rsidRDefault="003067E0">
            <w:pPr>
              <w:rPr>
                <w:rFonts w:ascii="Times New Roman" w:hAnsi="Times New Roman"/>
                <w:lang w:eastAsia="pt-BR"/>
              </w:rPr>
            </w:pPr>
            <w:r>
              <w:rPr>
                <w:rFonts w:ascii="Times New Roman" w:hAnsi="Times New Roman"/>
                <w:sz w:val="22"/>
                <w:szCs w:val="22"/>
                <w:lang w:eastAsia="pt-BR"/>
              </w:rPr>
              <w:t>ASSUNTO</w:t>
            </w:r>
          </w:p>
        </w:tc>
        <w:tc>
          <w:tcPr>
            <w:tcW w:w="360.80pt" w:type="dxa"/>
            <w:tcBorders>
              <w:top w:val="single" w:sz="4" w:space="0" w:color="7F7F7F"/>
              <w:start w:val="single" w:sz="4" w:space="0" w:color="7F7F7F"/>
              <w:bottom w:val="single" w:sz="4" w:space="0" w:color="7F7F7F"/>
            </w:tcBorders>
            <w:tcMar>
              <w:top w:w="0pt" w:type="dxa"/>
              <w:start w:w="5.65pt" w:type="dxa"/>
              <w:bottom w:w="0pt" w:type="dxa"/>
              <w:end w:w="5.65pt" w:type="dxa"/>
            </w:tcMar>
            <w:vAlign w:val="center"/>
          </w:tcPr>
          <w:p w:rsidR="00CA4868" w:rsidRDefault="003067E0">
            <w:pPr>
              <w:widowControl w:val="0"/>
            </w:pPr>
            <w:bookmarkStart w:id="0" w:name="_Hlk523142059"/>
            <w:r>
              <w:rPr>
                <w:rFonts w:ascii="Times New Roman" w:hAnsi="Times New Roman"/>
                <w:bCs/>
                <w:sz w:val="22"/>
                <w:szCs w:val="22"/>
                <w:lang w:eastAsia="pt-BR"/>
              </w:rPr>
              <w:t>ASSINATURAS DE CONVÊNIOS</w:t>
            </w:r>
            <w:r>
              <w:rPr>
                <w:rFonts w:ascii="Times New Roman" w:hAnsi="Times New Roman"/>
                <w:sz w:val="22"/>
                <w:szCs w:val="22"/>
                <w:lang w:eastAsia="pt-BR"/>
              </w:rPr>
              <w:t xml:space="preserve"> PARA BENEFÍCIOS A PROFISSIONAIS E PARA APOIO INSTITUCIONAL, ASSINADOS PELOS CAU/UF E CAU/BR</w:t>
            </w:r>
            <w:bookmarkEnd w:id="0"/>
          </w:p>
        </w:tc>
      </w:tr>
    </w:tbl>
    <w:p w:rsidR="00CA4868" w:rsidRDefault="003067E0">
      <w:pPr>
        <w:pBdr>
          <w:top w:val="single" w:sz="8" w:space="1" w:color="7F7F7F"/>
          <w:bottom w:val="single" w:sz="8" w:space="1" w:color="7F7F7F"/>
        </w:pBdr>
        <w:shd w:val="clear" w:color="auto" w:fill="F2F2F2"/>
        <w:jc w:val="center"/>
        <w:rPr>
          <w:rFonts w:ascii="Times New Roman" w:hAnsi="Times New Roman"/>
          <w:smallCaps/>
          <w:sz w:val="22"/>
          <w:szCs w:val="22"/>
          <w:lang w:eastAsia="pt-BR"/>
        </w:rPr>
      </w:pPr>
      <w:r>
        <w:rPr>
          <w:rFonts w:ascii="Times New Roman" w:hAnsi="Times New Roman"/>
          <w:smallCaps/>
          <w:sz w:val="22"/>
          <w:szCs w:val="22"/>
          <w:lang w:eastAsia="pt-BR"/>
        </w:rPr>
        <w:t>DELIBERAÇÃO Nº 76/2018 – (COA-CAU/BR)</w:t>
      </w:r>
    </w:p>
    <w:p w:rsidR="00CA4868" w:rsidRDefault="00CA4868">
      <w:pPr>
        <w:jc w:val="both"/>
        <w:rPr>
          <w:rFonts w:ascii="Times New Roman" w:hAnsi="Times New Roman"/>
          <w:sz w:val="22"/>
          <w:szCs w:val="22"/>
          <w:lang w:eastAsia="pt-BR"/>
        </w:rPr>
      </w:pPr>
    </w:p>
    <w:p w:rsidR="00CA4868" w:rsidRDefault="003067E0">
      <w:pPr>
        <w:jc w:val="both"/>
        <w:rPr>
          <w:rFonts w:ascii="Times New Roman" w:hAnsi="Times New Roman"/>
          <w:sz w:val="22"/>
          <w:szCs w:val="22"/>
          <w:lang w:eastAsia="pt-BR"/>
        </w:rPr>
      </w:pPr>
      <w:r>
        <w:rPr>
          <w:rFonts w:ascii="Times New Roman" w:hAnsi="Times New Roman"/>
          <w:sz w:val="22"/>
          <w:szCs w:val="22"/>
          <w:lang w:eastAsia="pt-BR"/>
        </w:rPr>
        <w:t>A COMISSÃO DE ORGANIZAÇÃO E ADMINISTRAÇÃO – (COA-CAU/BR), reunida ordinariamente em Brasília-DF, na sede do CAU/BR, no dia 08 de novembro de 2018, no uso das competências que lhe conferem os incisos I e II do art. 102 do Regimento Interno do CAU/BR, após análise do assunto em epígrafe, e</w:t>
      </w:r>
    </w:p>
    <w:p w:rsidR="00CA4868" w:rsidRDefault="00CA4868">
      <w:pPr>
        <w:jc w:val="both"/>
        <w:rPr>
          <w:rFonts w:ascii="Times New Roman" w:hAnsi="Times New Roman"/>
          <w:sz w:val="22"/>
          <w:szCs w:val="22"/>
          <w:lang w:eastAsia="pt-BR"/>
        </w:rPr>
      </w:pPr>
    </w:p>
    <w:p w:rsidR="00CA4868" w:rsidRPr="00AF29A9" w:rsidRDefault="003067E0">
      <w:pPr>
        <w:pStyle w:val="Corpodetexto"/>
        <w:ind w:start="0pt" w:end="5.15pt"/>
        <w:jc w:val="both"/>
        <w:rPr>
          <w:lang w:val="pt-BR"/>
        </w:rPr>
      </w:pPr>
      <w:r>
        <w:rPr>
          <w:rFonts w:ascii="Times New Roman" w:hAnsi="Times New Roman" w:cs="Times New Roman"/>
          <w:lang w:val="pt-BR"/>
        </w:rPr>
        <w:t xml:space="preserve">Considerando os dispositivos que regram sobre a atividade de uma autarquia federal ou governamental que, conforme os dispositivos constitucionais, se configura como Autarquia de Regime Especial, e portanto, regrada de forma específica, por ser parte da “Administração Pública Indireta”, conforme </w:t>
      </w:r>
      <w:r>
        <w:rPr>
          <w:rFonts w:ascii="Times New Roman" w:hAnsi="Times New Roman" w:cs="Times New Roman"/>
          <w:color w:val="000000"/>
          <w:lang w:val="pt-BR"/>
        </w:rPr>
        <w:t>no art. 37 da Constituição Federal do Brasil;</w:t>
      </w:r>
    </w:p>
    <w:p w:rsidR="00CA4868" w:rsidRDefault="00CA4868">
      <w:pPr>
        <w:pStyle w:val="Corpodetexto"/>
        <w:ind w:start="0pt" w:end="5.15pt"/>
        <w:jc w:val="both"/>
        <w:rPr>
          <w:rFonts w:ascii="Times New Roman" w:hAnsi="Times New Roman" w:cs="Times New Roman"/>
          <w:color w:val="000000"/>
          <w:lang w:val="pt-BR"/>
        </w:rPr>
      </w:pPr>
    </w:p>
    <w:p w:rsidR="00CA4868" w:rsidRPr="00AF29A9" w:rsidRDefault="003067E0">
      <w:pPr>
        <w:pStyle w:val="Corpodetexto"/>
        <w:ind w:start="0pt" w:end="5.20pt"/>
        <w:jc w:val="both"/>
        <w:rPr>
          <w:lang w:val="pt-BR"/>
        </w:rPr>
      </w:pPr>
      <w:r>
        <w:rPr>
          <w:rFonts w:ascii="Times New Roman" w:hAnsi="Times New Roman" w:cs="Times New Roman"/>
          <w:color w:val="000000"/>
          <w:lang w:val="pt-BR"/>
        </w:rPr>
        <w:t>Considerando o art. 24 da Lei 12.378/2010, que explicita</w:t>
      </w:r>
      <w:r>
        <w:rPr>
          <w:rFonts w:ascii="Times New Roman" w:hAnsi="Times New Roman" w:cs="Times New Roman"/>
          <w:color w:val="000000"/>
          <w:spacing w:val="24"/>
          <w:lang w:val="pt-BR"/>
        </w:rPr>
        <w:t xml:space="preserve"> </w:t>
      </w:r>
      <w:r>
        <w:rPr>
          <w:rFonts w:ascii="Times New Roman" w:hAnsi="Times New Roman" w:cs="Times New Roman"/>
          <w:color w:val="000000"/>
          <w:lang w:val="pt-BR"/>
        </w:rPr>
        <w:t>“</w:t>
      </w:r>
      <w:r>
        <w:rPr>
          <w:rFonts w:ascii="Times New Roman" w:hAnsi="Times New Roman" w:cs="Times New Roman"/>
          <w:i/>
          <w:color w:val="000000"/>
          <w:lang w:val="pt-BR"/>
        </w:rPr>
        <w:t xml:space="preserve">Ficam criados o Conselho de Arquitetura e Urbanismo do Brasil - CAU/BR e os Conselhos de Arquitetura e Urbanismo dos Estados e do Distrito Federal - CAUs, como autarquias dotadas de personalidade jurídica de direito público, com autonomia administrativa e financeira e estrutura federativa, cujas atividades serão custeadas exclusivamente pelas </w:t>
      </w:r>
      <w:r>
        <w:rPr>
          <w:rFonts w:ascii="Times New Roman" w:hAnsi="Times New Roman" w:cs="Times New Roman"/>
          <w:b/>
          <w:i/>
          <w:color w:val="000000"/>
          <w:lang w:val="pt-BR"/>
        </w:rPr>
        <w:t>próprias rendas</w:t>
      </w:r>
      <w:r>
        <w:rPr>
          <w:rFonts w:ascii="Times New Roman" w:hAnsi="Times New Roman" w:cs="Times New Roman"/>
          <w:color w:val="000000"/>
          <w:lang w:val="pt-BR"/>
        </w:rPr>
        <w:t>”;</w:t>
      </w:r>
    </w:p>
    <w:p w:rsidR="00CA4868" w:rsidRDefault="00CA4868">
      <w:pPr>
        <w:pStyle w:val="Corpodetexto"/>
        <w:ind w:start="0pt" w:end="5.20pt"/>
        <w:jc w:val="both"/>
        <w:rPr>
          <w:rFonts w:ascii="Times New Roman" w:hAnsi="Times New Roman" w:cs="Times New Roman"/>
          <w:color w:val="000000"/>
          <w:lang w:val="pt-BR"/>
        </w:rPr>
      </w:pPr>
    </w:p>
    <w:p w:rsidR="00CA4868" w:rsidRPr="00AF29A9" w:rsidRDefault="003067E0">
      <w:pPr>
        <w:pStyle w:val="Corpodetexto"/>
        <w:ind w:start="0pt" w:end="5.20pt"/>
        <w:jc w:val="both"/>
        <w:rPr>
          <w:lang w:val="pt-BR"/>
        </w:rPr>
      </w:pPr>
      <w:r>
        <w:rPr>
          <w:rFonts w:ascii="Times New Roman" w:hAnsi="Times New Roman" w:cs="Times New Roman"/>
          <w:color w:val="000000"/>
          <w:lang w:val="pt-BR"/>
        </w:rPr>
        <w:t>Considerando ainda que o § 1° do supracitado art. 24 estabelece que “</w:t>
      </w:r>
      <w:r>
        <w:rPr>
          <w:rFonts w:ascii="Times New Roman" w:hAnsi="Times New Roman" w:cs="Times New Roman"/>
          <w:i/>
          <w:color w:val="000000"/>
          <w:lang w:val="pt-BR"/>
        </w:rPr>
        <w:t>O CAU/BR e os CAUs têm como função orientar, disciplinar e fiscalizar o exercício da profissão de arquitetura e urbanismo, zelar pela fiel observância dos princípios de ética e disciplina da classe em todo o território nacional, bem como pugnar pelo aperfeiçoamento do exercício da arquitetura e urbanismo”;</w:t>
      </w:r>
    </w:p>
    <w:p w:rsidR="00CA4868" w:rsidRDefault="00CA4868">
      <w:pPr>
        <w:pStyle w:val="Corpodetexto"/>
        <w:ind w:start="0pt" w:end="5.20pt"/>
        <w:jc w:val="both"/>
        <w:rPr>
          <w:rFonts w:ascii="Times New Roman" w:hAnsi="Times New Roman" w:cs="Times New Roman"/>
          <w:i/>
          <w:color w:val="000000"/>
          <w:lang w:val="pt-BR"/>
        </w:rPr>
      </w:pPr>
    </w:p>
    <w:p w:rsidR="00CA4868" w:rsidRDefault="003067E0">
      <w:pPr>
        <w:pStyle w:val="Corpodetexto"/>
        <w:ind w:start="0pt" w:end="5.20pt"/>
        <w:jc w:val="both"/>
        <w:rPr>
          <w:rFonts w:ascii="Times New Roman" w:hAnsi="Times New Roman" w:cs="Times New Roman"/>
          <w:color w:val="000000"/>
          <w:lang w:val="pt-BR"/>
        </w:rPr>
      </w:pPr>
      <w:r>
        <w:rPr>
          <w:rFonts w:ascii="Times New Roman" w:hAnsi="Times New Roman" w:cs="Times New Roman"/>
          <w:color w:val="000000"/>
          <w:lang w:val="pt-BR"/>
        </w:rPr>
        <w:t>Considerando que as autarquias do CAU devam cumprir os dispositivos contidos na Lei de sua criação, não extrapolando as suas competências e funções;</w:t>
      </w:r>
    </w:p>
    <w:p w:rsidR="00CA4868" w:rsidRDefault="00CA4868">
      <w:pPr>
        <w:jc w:val="both"/>
        <w:rPr>
          <w:rFonts w:ascii="Times New Roman" w:hAnsi="Times New Roman"/>
          <w:sz w:val="22"/>
          <w:szCs w:val="22"/>
        </w:rPr>
      </w:pPr>
    </w:p>
    <w:p w:rsidR="00CA4868" w:rsidRPr="00AF29A9" w:rsidRDefault="003067E0">
      <w:pPr>
        <w:pStyle w:val="Corpodetexto"/>
        <w:ind w:start="0pt" w:end="5.55pt"/>
        <w:jc w:val="both"/>
        <w:rPr>
          <w:lang w:val="pt-BR"/>
        </w:rPr>
      </w:pPr>
      <w:r>
        <w:rPr>
          <w:rFonts w:ascii="Times New Roman" w:hAnsi="Times New Roman" w:cs="Times New Roman"/>
          <w:color w:val="000000"/>
          <w:lang w:val="pt-BR"/>
        </w:rPr>
        <w:t>Considerando a Lei nº 13.019, de 31 de julho de 2014, com nova Redação dada pela Lei nº 13.204, de 2015, que “</w:t>
      </w:r>
      <w:r>
        <w:rPr>
          <w:rFonts w:ascii="Times New Roman" w:hAnsi="Times New Roman" w:cs="Times New Roman"/>
          <w:i/>
          <w:color w:val="000000"/>
          <w:lang w:val="pt-BR"/>
        </w:rPr>
        <w:t>Estabelece o regime jurídico das parcerias entre a administração pública e as organizações da sociedade civil, em regime de mútua cooperação, para a consecução de finalidades de interesse público e recíproco, mediante a execução de atividades ou de projetos previamente estabelecidos em planos de trabalho inseridos em termos de colaboração, em termos de fomento ou em acordos de cooperação; define diretrizes para a política de fomento, de colaboração e de cooperação com organizações da sociedade civil”;</w:t>
      </w:r>
    </w:p>
    <w:p w:rsidR="00CA4868" w:rsidRDefault="00CA4868">
      <w:pPr>
        <w:pStyle w:val="Corpodetexto"/>
        <w:ind w:start="0pt" w:end="5.55pt"/>
        <w:jc w:val="both"/>
        <w:rPr>
          <w:rFonts w:ascii="Times New Roman" w:hAnsi="Times New Roman" w:cs="Times New Roman"/>
          <w:color w:val="000000"/>
          <w:lang w:val="pt-BR"/>
        </w:rPr>
      </w:pPr>
    </w:p>
    <w:p w:rsidR="00CA4868" w:rsidRDefault="003067E0">
      <w:pPr>
        <w:pStyle w:val="Corpodetexto"/>
        <w:ind w:start="0pt" w:end="5.55pt"/>
        <w:jc w:val="both"/>
        <w:rPr>
          <w:rFonts w:ascii="Times New Roman" w:hAnsi="Times New Roman" w:cs="Times New Roman"/>
          <w:color w:val="000000"/>
          <w:lang w:val="pt-BR"/>
        </w:rPr>
      </w:pPr>
      <w:r>
        <w:rPr>
          <w:rFonts w:ascii="Times New Roman" w:hAnsi="Times New Roman" w:cs="Times New Roman"/>
          <w:color w:val="000000"/>
          <w:lang w:val="pt-BR"/>
        </w:rPr>
        <w:t>Considerando as definições apontadas no art. 2º da Lei 13.019/2014:</w:t>
      </w:r>
    </w:p>
    <w:p w:rsidR="00CA4868" w:rsidRDefault="003067E0">
      <w:pPr>
        <w:pStyle w:val="Corpodetexto"/>
        <w:ind w:start="21.30pt" w:end="5.55pt"/>
        <w:jc w:val="both"/>
        <w:rPr>
          <w:rFonts w:ascii="Times New Roman" w:hAnsi="Times New Roman" w:cs="Times New Roman"/>
          <w:i/>
          <w:color w:val="000000"/>
          <w:lang w:val="pt-BR"/>
        </w:rPr>
      </w:pPr>
      <w:r>
        <w:rPr>
          <w:rFonts w:ascii="Times New Roman" w:hAnsi="Times New Roman" w:cs="Times New Roman"/>
          <w:i/>
          <w:color w:val="000000"/>
          <w:lang w:val="pt-BR"/>
        </w:rPr>
        <w:t>“III - PARCERIA: conjunto de direitos, responsabilidades e obrigações decorrentes de relação jurídica estabelecida formalmente entre a administração pública e organizações da sociedade civil, em regime de mútua cooperação, para a consecução de finalidades de interesse público e recíproco, mediante a execução de atividade ou de projeto expressos em termos de colaboração, em termos de fomento ou em acordos de cooperação;</w:t>
      </w:r>
    </w:p>
    <w:p w:rsidR="00CA4868" w:rsidRDefault="003067E0">
      <w:pPr>
        <w:pStyle w:val="Corpodetexto"/>
        <w:ind w:start="21.30pt" w:end="5.55pt"/>
        <w:jc w:val="both"/>
        <w:rPr>
          <w:rFonts w:ascii="Times New Roman" w:hAnsi="Times New Roman" w:cs="Times New Roman"/>
          <w:i/>
          <w:color w:val="000000"/>
          <w:lang w:val="pt-BR"/>
        </w:rPr>
      </w:pPr>
      <w:r>
        <w:rPr>
          <w:rFonts w:ascii="Times New Roman" w:hAnsi="Times New Roman" w:cs="Times New Roman"/>
          <w:i/>
          <w:color w:val="000000"/>
          <w:lang w:val="pt-BR"/>
        </w:rPr>
        <w:t xml:space="preserve">VII - TERMO DE COLABORAÇÃO: instrumento por meio do qual são formalizadas as parcerias estabelecidas pela administração pública com organizações da sociedade civil para a consecução de finalidades de interesse público e recíproco propostas pela administração pública que envolvam a transferência de recursos financeiros; </w:t>
      </w:r>
    </w:p>
    <w:p w:rsidR="00CA4868" w:rsidRDefault="003067E0">
      <w:pPr>
        <w:pStyle w:val="Corpodetexto"/>
        <w:ind w:start="21.30pt" w:end="5.55pt"/>
        <w:jc w:val="both"/>
        <w:rPr>
          <w:rFonts w:ascii="Times New Roman" w:hAnsi="Times New Roman" w:cs="Times New Roman"/>
          <w:i/>
          <w:color w:val="000000"/>
          <w:lang w:val="pt-BR"/>
        </w:rPr>
      </w:pPr>
      <w:r>
        <w:rPr>
          <w:rFonts w:ascii="Times New Roman" w:hAnsi="Times New Roman" w:cs="Times New Roman"/>
          <w:i/>
          <w:color w:val="000000"/>
          <w:lang w:val="pt-BR"/>
        </w:rPr>
        <w:t xml:space="preserve">VIII -TERMO DE FOMENTO: instrumento por meio do qual são formalizadas as parcerias estabelecidas pela administração pública com organizações da sociedade civil para a consecução de finalidades de interesse público e recíproco propostas pelas organizações da sociedade civil, </w:t>
      </w:r>
      <w:r>
        <w:rPr>
          <w:rFonts w:ascii="Times New Roman" w:hAnsi="Times New Roman" w:cs="Times New Roman"/>
          <w:i/>
          <w:color w:val="000000"/>
          <w:lang w:val="pt-BR"/>
        </w:rPr>
        <w:lastRenderedPageBreak/>
        <w:t xml:space="preserve">que envolvam a transferência de recursos financeiros; </w:t>
      </w:r>
    </w:p>
    <w:p w:rsidR="00CA4868" w:rsidRDefault="003067E0">
      <w:pPr>
        <w:pStyle w:val="Corpodetexto"/>
        <w:ind w:start="21.30pt" w:end="5.55pt"/>
        <w:jc w:val="both"/>
        <w:rPr>
          <w:rFonts w:ascii="Times New Roman" w:hAnsi="Times New Roman" w:cs="Times New Roman"/>
          <w:i/>
          <w:color w:val="000000"/>
          <w:lang w:val="pt-BR"/>
        </w:rPr>
      </w:pPr>
      <w:r>
        <w:rPr>
          <w:rFonts w:ascii="Times New Roman" w:hAnsi="Times New Roman" w:cs="Times New Roman"/>
          <w:i/>
          <w:color w:val="000000"/>
          <w:lang w:val="pt-BR"/>
        </w:rPr>
        <w:t>VIII-A - ACORDO DE COOPERAÇÃO: instrumento por meio do qual são formalizadas as parcerias estabelecidas pela administração pública com organizações da sociedade civil para a consecução de finalidades de interesse público e recíproco que NÃO envolvam a transferência de recursos financeiros; “</w:t>
      </w:r>
    </w:p>
    <w:p w:rsidR="00CA4868" w:rsidRDefault="00CA4868">
      <w:pPr>
        <w:pStyle w:val="Corpodetexto"/>
        <w:ind w:start="0pt" w:end="5.55pt"/>
        <w:jc w:val="both"/>
        <w:rPr>
          <w:rFonts w:ascii="Times New Roman" w:hAnsi="Times New Roman" w:cs="Times New Roman"/>
          <w:iCs/>
          <w:color w:val="000000"/>
          <w:lang w:val="pt-BR"/>
        </w:rPr>
      </w:pPr>
    </w:p>
    <w:p w:rsidR="00CA4868" w:rsidRPr="00AF29A9" w:rsidRDefault="003067E0">
      <w:pPr>
        <w:pStyle w:val="Corpodetexto"/>
        <w:ind w:start="0pt" w:end="5.55pt"/>
        <w:jc w:val="both"/>
        <w:rPr>
          <w:lang w:val="pt-BR"/>
        </w:rPr>
      </w:pPr>
      <w:r>
        <w:rPr>
          <w:rFonts w:ascii="Times New Roman" w:hAnsi="Times New Roman" w:cs="Times New Roman"/>
          <w:iCs/>
          <w:color w:val="000000"/>
          <w:lang w:val="pt-BR"/>
        </w:rPr>
        <w:t xml:space="preserve">Considerando o </w:t>
      </w:r>
      <w:r>
        <w:rPr>
          <w:rFonts w:ascii="Times New Roman" w:hAnsi="Times New Roman" w:cs="Times New Roman"/>
          <w:bCs/>
          <w:iCs/>
          <w:color w:val="000000"/>
          <w:lang w:val="pt-BR"/>
        </w:rPr>
        <w:t>Decreto n° 8.726</w:t>
      </w:r>
      <w:r>
        <w:rPr>
          <w:rFonts w:ascii="Times New Roman" w:hAnsi="Times New Roman" w:cs="Times New Roman"/>
          <w:iCs/>
          <w:color w:val="000000"/>
          <w:lang w:val="pt-BR"/>
        </w:rPr>
        <w:t>, de 27 de abril de 2016, que “</w:t>
      </w:r>
      <w:r>
        <w:rPr>
          <w:rFonts w:ascii="Times New Roman" w:hAnsi="Times New Roman" w:cs="Times New Roman"/>
          <w:i/>
          <w:iCs/>
          <w:color w:val="000000"/>
          <w:lang w:val="pt-BR"/>
        </w:rPr>
        <w:t xml:space="preserve">Regulamenta a Lei nº 13.019, de 31 de julho de 2014, para </w:t>
      </w:r>
      <w:r>
        <w:rPr>
          <w:rFonts w:ascii="Times New Roman" w:hAnsi="Times New Roman" w:cs="Times New Roman"/>
          <w:bCs/>
          <w:i/>
          <w:iCs/>
          <w:color w:val="000000"/>
          <w:lang w:val="pt-BR"/>
        </w:rPr>
        <w:t xml:space="preserve">dispor sobre regras </w:t>
      </w:r>
      <w:r>
        <w:rPr>
          <w:rFonts w:ascii="Times New Roman" w:hAnsi="Times New Roman" w:cs="Times New Roman"/>
          <w:i/>
          <w:iCs/>
          <w:color w:val="000000"/>
          <w:lang w:val="pt-BR"/>
        </w:rPr>
        <w:t xml:space="preserve">e </w:t>
      </w:r>
      <w:r>
        <w:rPr>
          <w:rFonts w:ascii="Times New Roman" w:hAnsi="Times New Roman" w:cs="Times New Roman"/>
          <w:bCs/>
          <w:i/>
          <w:iCs/>
          <w:color w:val="000000"/>
          <w:lang w:val="pt-BR"/>
        </w:rPr>
        <w:t>procedimentos do regime jurídico</w:t>
      </w:r>
      <w:r>
        <w:rPr>
          <w:rFonts w:ascii="Times New Roman" w:hAnsi="Times New Roman" w:cs="Times New Roman"/>
          <w:i/>
          <w:iCs/>
          <w:color w:val="000000"/>
          <w:lang w:val="pt-BR"/>
        </w:rPr>
        <w:t xml:space="preserve"> das </w:t>
      </w:r>
      <w:r>
        <w:rPr>
          <w:rFonts w:ascii="Times New Roman" w:hAnsi="Times New Roman" w:cs="Times New Roman"/>
          <w:bCs/>
          <w:i/>
          <w:iCs/>
          <w:color w:val="000000"/>
          <w:lang w:val="pt-BR"/>
        </w:rPr>
        <w:t xml:space="preserve">parcerias celebradas entre </w:t>
      </w:r>
      <w:r>
        <w:rPr>
          <w:rFonts w:ascii="Times New Roman" w:hAnsi="Times New Roman" w:cs="Times New Roman"/>
          <w:i/>
          <w:iCs/>
          <w:color w:val="000000"/>
          <w:lang w:val="pt-BR"/>
        </w:rPr>
        <w:t xml:space="preserve">a </w:t>
      </w:r>
      <w:r>
        <w:rPr>
          <w:rFonts w:ascii="Times New Roman" w:hAnsi="Times New Roman" w:cs="Times New Roman"/>
          <w:bCs/>
          <w:i/>
          <w:iCs/>
          <w:color w:val="000000"/>
          <w:lang w:val="pt-BR"/>
        </w:rPr>
        <w:t>administração pública federal</w:t>
      </w:r>
      <w:r>
        <w:rPr>
          <w:rFonts w:ascii="Times New Roman" w:hAnsi="Times New Roman" w:cs="Times New Roman"/>
          <w:i/>
          <w:iCs/>
          <w:color w:val="000000"/>
          <w:lang w:val="pt-BR"/>
        </w:rPr>
        <w:t xml:space="preserve"> e as </w:t>
      </w:r>
      <w:r>
        <w:rPr>
          <w:rFonts w:ascii="Times New Roman" w:hAnsi="Times New Roman" w:cs="Times New Roman"/>
          <w:bCs/>
          <w:i/>
          <w:iCs/>
          <w:color w:val="000000"/>
          <w:lang w:val="pt-BR"/>
        </w:rPr>
        <w:t>organizações da sociedade civil</w:t>
      </w:r>
      <w:r>
        <w:rPr>
          <w:rFonts w:ascii="Times New Roman" w:hAnsi="Times New Roman" w:cs="Times New Roman"/>
          <w:bCs/>
          <w:iCs/>
          <w:color w:val="000000"/>
          <w:lang w:val="pt-BR"/>
        </w:rPr>
        <w:t>”;</w:t>
      </w:r>
    </w:p>
    <w:p w:rsidR="00CA4868" w:rsidRDefault="00CA4868">
      <w:pPr>
        <w:pStyle w:val="Corpodetexto"/>
        <w:ind w:start="0pt" w:end="5.55pt"/>
        <w:jc w:val="both"/>
        <w:rPr>
          <w:rFonts w:ascii="Times New Roman" w:hAnsi="Times New Roman" w:cs="Times New Roman"/>
          <w:b/>
          <w:bCs/>
          <w:i/>
          <w:iCs/>
          <w:color w:val="000000"/>
          <w:u w:val="single"/>
          <w:lang w:val="pt-BR"/>
        </w:rPr>
      </w:pPr>
    </w:p>
    <w:p w:rsidR="00CA4868" w:rsidRDefault="003067E0">
      <w:pPr>
        <w:jc w:val="both"/>
        <w:rPr>
          <w:rFonts w:ascii="Times New Roman" w:hAnsi="Times New Roman"/>
          <w:sz w:val="22"/>
          <w:szCs w:val="22"/>
          <w:lang w:eastAsia="pt-BR"/>
        </w:rPr>
      </w:pPr>
      <w:r>
        <w:rPr>
          <w:rFonts w:ascii="Times New Roman" w:hAnsi="Times New Roman"/>
          <w:sz w:val="22"/>
          <w:szCs w:val="22"/>
          <w:lang w:eastAsia="pt-BR"/>
        </w:rPr>
        <w:t>Considerando o Regimento Geral do CAU, que nos incisos LI e LII, do art. 34, estabelece que compete aos plenários das autarquias do CAU dispor sobre assinatura de convênios com entidades públicas, bem como assinatura de parcerias em regime de mútua cooperação com entidades da sociedade civil;</w:t>
      </w:r>
    </w:p>
    <w:p w:rsidR="00CA4868" w:rsidRDefault="00CA4868">
      <w:pPr>
        <w:jc w:val="both"/>
        <w:rPr>
          <w:rFonts w:ascii="Times New Roman" w:hAnsi="Times New Roman"/>
          <w:sz w:val="22"/>
          <w:szCs w:val="22"/>
          <w:lang w:eastAsia="pt-BR"/>
        </w:rPr>
      </w:pPr>
    </w:p>
    <w:p w:rsidR="00CA4868" w:rsidRDefault="003067E0">
      <w:pPr>
        <w:jc w:val="both"/>
        <w:rPr>
          <w:rFonts w:ascii="Times New Roman" w:hAnsi="Times New Roman"/>
          <w:sz w:val="22"/>
          <w:szCs w:val="22"/>
          <w:lang w:eastAsia="pt-BR"/>
        </w:rPr>
      </w:pPr>
      <w:r>
        <w:rPr>
          <w:rFonts w:ascii="Times New Roman" w:hAnsi="Times New Roman"/>
          <w:sz w:val="22"/>
          <w:szCs w:val="22"/>
          <w:lang w:eastAsia="pt-BR"/>
        </w:rPr>
        <w:t>Considerando o Regimento Geral do CAU, que no inciso XVI, do art. 162, estabelece que compete aos conselhos diretores, quando instituídos, apreciar e deliberar sobre convênios, termos de colaboração, termos de fomento, acordos de cooperação e memorandos de entendimento; e</w:t>
      </w:r>
    </w:p>
    <w:p w:rsidR="00CA4868" w:rsidRDefault="00CA4868">
      <w:pPr>
        <w:jc w:val="both"/>
        <w:rPr>
          <w:rFonts w:ascii="Times New Roman" w:hAnsi="Times New Roman"/>
          <w:sz w:val="22"/>
          <w:szCs w:val="22"/>
          <w:lang w:eastAsia="pt-BR"/>
        </w:rPr>
      </w:pPr>
    </w:p>
    <w:p w:rsidR="00CA4868" w:rsidRDefault="003067E0">
      <w:pPr>
        <w:jc w:val="both"/>
        <w:rPr>
          <w:rFonts w:ascii="Times New Roman" w:hAnsi="Times New Roman"/>
          <w:sz w:val="22"/>
          <w:szCs w:val="22"/>
          <w:lang w:eastAsia="pt-BR"/>
        </w:rPr>
      </w:pPr>
      <w:r>
        <w:rPr>
          <w:rFonts w:ascii="Times New Roman" w:hAnsi="Times New Roman"/>
          <w:sz w:val="22"/>
          <w:szCs w:val="22"/>
          <w:lang w:eastAsia="pt-BR"/>
        </w:rPr>
        <w:t xml:space="preserve"> Considerando que todas as deliberações de comissão devem ser encaminhadas à Presidência do CAU/BR, para verificação e encaminhamentos, conforme Regimento Interno do CAU/BR.</w:t>
      </w:r>
    </w:p>
    <w:p w:rsidR="00CA4868" w:rsidRDefault="00CA4868">
      <w:pPr>
        <w:jc w:val="both"/>
        <w:rPr>
          <w:rFonts w:ascii="Times New Roman" w:hAnsi="Times New Roman"/>
          <w:b/>
          <w:sz w:val="22"/>
          <w:szCs w:val="22"/>
          <w:lang w:eastAsia="pt-BR"/>
        </w:rPr>
      </w:pPr>
    </w:p>
    <w:p w:rsidR="00CA4868" w:rsidRDefault="003067E0">
      <w:pPr>
        <w:jc w:val="both"/>
        <w:rPr>
          <w:rFonts w:ascii="Times New Roman" w:hAnsi="Times New Roman"/>
          <w:b/>
          <w:sz w:val="22"/>
          <w:szCs w:val="22"/>
          <w:lang w:eastAsia="pt-BR"/>
        </w:rPr>
      </w:pPr>
      <w:r>
        <w:rPr>
          <w:rFonts w:ascii="Times New Roman" w:hAnsi="Times New Roman"/>
          <w:b/>
          <w:sz w:val="22"/>
          <w:szCs w:val="22"/>
          <w:lang w:eastAsia="pt-BR"/>
        </w:rPr>
        <w:t>DELIBERA:</w:t>
      </w:r>
    </w:p>
    <w:p w:rsidR="00CA4868" w:rsidRDefault="00CA4868">
      <w:pPr>
        <w:jc w:val="both"/>
        <w:rPr>
          <w:rFonts w:ascii="Times New Roman" w:hAnsi="Times New Roman"/>
          <w:sz w:val="22"/>
          <w:szCs w:val="22"/>
          <w:lang w:eastAsia="pt-BR"/>
        </w:rPr>
      </w:pPr>
    </w:p>
    <w:p w:rsidR="00CA4868" w:rsidRDefault="003067E0">
      <w:pPr>
        <w:numPr>
          <w:ilvl w:val="0"/>
          <w:numId w:val="1"/>
        </w:numPr>
        <w:jc w:val="both"/>
        <w:rPr>
          <w:rFonts w:ascii="Times New Roman" w:hAnsi="Times New Roman"/>
          <w:sz w:val="22"/>
          <w:szCs w:val="22"/>
          <w:lang w:eastAsia="pt-BR"/>
        </w:rPr>
      </w:pPr>
      <w:r>
        <w:rPr>
          <w:rFonts w:ascii="Times New Roman" w:hAnsi="Times New Roman"/>
          <w:sz w:val="22"/>
          <w:szCs w:val="22"/>
          <w:lang w:eastAsia="pt-BR"/>
        </w:rPr>
        <w:t>Solicitar à Presidência que encaminhe ao Plenário a proposta de deliberação plenária recomendando que os CAU/UF verifiquem se os convênios assinados pelas respectivas autarquias cumprem a legislação em vigor e, se necessário, promovam as devidas adequações, devendo todos esses atos serem deliberados pelos conselhos diretores, quando instituídos, e pelos respectivos plenários;</w:t>
      </w:r>
    </w:p>
    <w:p w:rsidR="00CA4868" w:rsidRDefault="00CA4868">
      <w:pPr>
        <w:ind w:start="36pt"/>
        <w:jc w:val="both"/>
        <w:rPr>
          <w:rFonts w:ascii="Times New Roman" w:hAnsi="Times New Roman"/>
          <w:sz w:val="22"/>
          <w:szCs w:val="22"/>
          <w:lang w:eastAsia="pt-BR"/>
        </w:rPr>
      </w:pPr>
    </w:p>
    <w:p w:rsidR="00CA4868" w:rsidRDefault="003067E0">
      <w:pPr>
        <w:numPr>
          <w:ilvl w:val="0"/>
          <w:numId w:val="1"/>
        </w:numPr>
        <w:jc w:val="both"/>
        <w:rPr>
          <w:rFonts w:ascii="Times New Roman" w:hAnsi="Times New Roman"/>
          <w:sz w:val="22"/>
          <w:szCs w:val="22"/>
          <w:lang w:eastAsia="pt-BR"/>
        </w:rPr>
      </w:pPr>
      <w:r>
        <w:rPr>
          <w:rFonts w:ascii="Times New Roman" w:hAnsi="Times New Roman"/>
          <w:sz w:val="22"/>
          <w:szCs w:val="22"/>
          <w:lang w:eastAsia="pt-BR"/>
        </w:rPr>
        <w:t>Encaminhar esta deliberação à Presidência do CAU/BR, para a inclusão da matéria na pauta da Reunião Plenária do CAU/BR.</w:t>
      </w:r>
    </w:p>
    <w:p w:rsidR="00CA4868" w:rsidRDefault="00CA4868">
      <w:pPr>
        <w:pStyle w:val="PargrafodaLista"/>
        <w:rPr>
          <w:rFonts w:ascii="Times New Roman" w:hAnsi="Times New Roman"/>
          <w:sz w:val="22"/>
          <w:szCs w:val="22"/>
        </w:rPr>
      </w:pPr>
    </w:p>
    <w:p w:rsidR="00CA4868" w:rsidRDefault="003067E0">
      <w:pPr>
        <w:jc w:val="center"/>
      </w:pPr>
      <w:r>
        <w:rPr>
          <w:rFonts w:ascii="Times New Roman" w:hAnsi="Times New Roman"/>
          <w:sz w:val="22"/>
          <w:szCs w:val="22"/>
          <w:lang w:eastAsia="pt-BR"/>
        </w:rPr>
        <w:t>Brasília-DF</w:t>
      </w:r>
      <w:r>
        <w:rPr>
          <w:rFonts w:ascii="Times New Roman" w:hAnsi="Times New Roman"/>
          <w:color w:val="000000"/>
          <w:sz w:val="22"/>
          <w:szCs w:val="22"/>
          <w:lang w:eastAsia="pt-BR"/>
        </w:rPr>
        <w:t>, 08 de novembro d</w:t>
      </w:r>
      <w:r>
        <w:rPr>
          <w:rFonts w:ascii="Times New Roman" w:hAnsi="Times New Roman"/>
          <w:sz w:val="22"/>
          <w:szCs w:val="22"/>
          <w:lang w:eastAsia="pt-BR"/>
        </w:rPr>
        <w:t>e julho de 2018</w:t>
      </w:r>
      <w:r>
        <w:rPr>
          <w:rFonts w:ascii="Times New Roman" w:hAnsi="Times New Roman"/>
          <w:color w:val="000000"/>
          <w:sz w:val="22"/>
          <w:szCs w:val="22"/>
          <w:lang w:eastAsia="pt-BR"/>
        </w:rPr>
        <w:t>.</w:t>
      </w:r>
    </w:p>
    <w:p w:rsidR="00CA4868" w:rsidRDefault="00CA4868">
      <w:pPr>
        <w:autoSpaceDE w:val="0"/>
        <w:rPr>
          <w:rFonts w:ascii="Times New Roman" w:hAnsi="Times New Roman"/>
          <w:sz w:val="22"/>
          <w:szCs w:val="22"/>
          <w:lang w:eastAsia="pt-BR"/>
        </w:rPr>
      </w:pPr>
    </w:p>
    <w:p w:rsidR="00CA4868" w:rsidRDefault="00CA4868">
      <w:pPr>
        <w:autoSpaceDE w:val="0"/>
        <w:rPr>
          <w:rFonts w:ascii="Times New Roman" w:hAnsi="Times New Roman"/>
          <w:sz w:val="22"/>
          <w:szCs w:val="22"/>
          <w:lang w:eastAsia="pt-BR"/>
        </w:rPr>
      </w:pPr>
    </w:p>
    <w:p w:rsidR="00CA4868" w:rsidRDefault="003067E0">
      <w:pPr>
        <w:tabs>
          <w:tab w:val="center" w:pos="212.60pt"/>
          <w:tab w:val="end" w:pos="425.20pt"/>
        </w:tabs>
      </w:pPr>
      <w:r>
        <w:rPr>
          <w:rFonts w:ascii="Times New Roman" w:hAnsi="Times New Roman"/>
          <w:b/>
          <w:caps/>
          <w:color w:val="000000"/>
          <w:spacing w:val="4"/>
          <w:sz w:val="22"/>
          <w:szCs w:val="22"/>
          <w:lang w:eastAsia="pt-BR"/>
        </w:rPr>
        <w:t>Patrícia Silva Luz Macedo  (rN)                   ___________________________________</w:t>
      </w:r>
    </w:p>
    <w:p w:rsidR="00CA4868" w:rsidRDefault="003067E0">
      <w:pPr>
        <w:autoSpaceDE w:val="0"/>
        <w:rPr>
          <w:rFonts w:ascii="Times New Roman" w:hAnsi="Times New Roman"/>
          <w:sz w:val="22"/>
          <w:szCs w:val="22"/>
          <w:lang w:eastAsia="pt-BR"/>
        </w:rPr>
      </w:pPr>
      <w:r>
        <w:rPr>
          <w:rFonts w:ascii="Times New Roman" w:hAnsi="Times New Roman"/>
          <w:sz w:val="22"/>
          <w:szCs w:val="22"/>
          <w:lang w:eastAsia="pt-BR"/>
        </w:rPr>
        <w:t>Coordenadora</w:t>
      </w:r>
    </w:p>
    <w:p w:rsidR="00CA4868" w:rsidRDefault="00CA4868">
      <w:pPr>
        <w:autoSpaceDE w:val="0"/>
        <w:rPr>
          <w:rFonts w:ascii="Times New Roman" w:hAnsi="Times New Roman"/>
          <w:sz w:val="22"/>
          <w:szCs w:val="22"/>
          <w:lang w:eastAsia="pt-BR"/>
        </w:rPr>
      </w:pPr>
    </w:p>
    <w:p w:rsidR="00CA4868" w:rsidRDefault="003067E0">
      <w:pPr>
        <w:autoSpaceDE w:val="0"/>
        <w:rPr>
          <w:rFonts w:ascii="Times New Roman" w:hAnsi="Times New Roman"/>
          <w:b/>
          <w:caps/>
          <w:spacing w:val="4"/>
          <w:sz w:val="22"/>
          <w:szCs w:val="22"/>
        </w:rPr>
      </w:pPr>
      <w:r>
        <w:rPr>
          <w:rFonts w:ascii="Times New Roman" w:hAnsi="Times New Roman"/>
          <w:b/>
          <w:caps/>
          <w:spacing w:val="4"/>
          <w:sz w:val="22"/>
          <w:szCs w:val="22"/>
        </w:rPr>
        <w:t>JOSÉ ANTÔNIO ASSIS DE GODOY (MG)                ___________________________________</w:t>
      </w:r>
    </w:p>
    <w:p w:rsidR="00CA4868" w:rsidRDefault="003067E0">
      <w:pPr>
        <w:autoSpaceDE w:val="0"/>
        <w:rPr>
          <w:rFonts w:ascii="Times New Roman" w:hAnsi="Times New Roman"/>
          <w:sz w:val="22"/>
          <w:szCs w:val="22"/>
          <w:lang w:eastAsia="pt-BR"/>
        </w:rPr>
      </w:pPr>
      <w:r>
        <w:rPr>
          <w:rFonts w:ascii="Times New Roman" w:hAnsi="Times New Roman"/>
          <w:sz w:val="22"/>
          <w:szCs w:val="22"/>
          <w:lang w:eastAsia="pt-BR"/>
        </w:rPr>
        <w:t>Coordenador-adjunto</w:t>
      </w:r>
    </w:p>
    <w:p w:rsidR="00CA4868" w:rsidRDefault="00CA4868">
      <w:pPr>
        <w:autoSpaceDE w:val="0"/>
        <w:rPr>
          <w:rFonts w:ascii="Times New Roman" w:hAnsi="Times New Roman"/>
          <w:spacing w:val="-6"/>
          <w:sz w:val="22"/>
          <w:szCs w:val="22"/>
          <w:lang w:eastAsia="pt-BR"/>
        </w:rPr>
      </w:pPr>
    </w:p>
    <w:p w:rsidR="00CA4868" w:rsidRDefault="003067E0">
      <w:pPr>
        <w:autoSpaceDE w:val="0"/>
        <w:rPr>
          <w:rFonts w:ascii="Times New Roman" w:hAnsi="Times New Roman"/>
          <w:b/>
          <w:caps/>
          <w:spacing w:val="4"/>
          <w:sz w:val="22"/>
          <w:szCs w:val="22"/>
        </w:rPr>
      </w:pPr>
      <w:r>
        <w:rPr>
          <w:rFonts w:ascii="Times New Roman" w:hAnsi="Times New Roman"/>
          <w:b/>
          <w:caps/>
          <w:spacing w:val="4"/>
          <w:sz w:val="22"/>
          <w:szCs w:val="22"/>
        </w:rPr>
        <w:t>EDNEZER RODRIGUES FLORES (RS)                    ___________________________________</w:t>
      </w:r>
    </w:p>
    <w:p w:rsidR="00CA4868" w:rsidRDefault="003067E0">
      <w:pPr>
        <w:autoSpaceDE w:val="0"/>
        <w:rPr>
          <w:rFonts w:ascii="Times New Roman" w:hAnsi="Times New Roman"/>
          <w:sz w:val="22"/>
          <w:szCs w:val="22"/>
          <w:lang w:eastAsia="pt-BR"/>
        </w:rPr>
      </w:pPr>
      <w:r>
        <w:rPr>
          <w:rFonts w:ascii="Times New Roman" w:hAnsi="Times New Roman"/>
          <w:sz w:val="22"/>
          <w:szCs w:val="22"/>
          <w:lang w:eastAsia="pt-BR"/>
        </w:rPr>
        <w:t>Membro</w:t>
      </w:r>
    </w:p>
    <w:p w:rsidR="00CA4868" w:rsidRDefault="00CA4868">
      <w:pPr>
        <w:autoSpaceDE w:val="0"/>
        <w:rPr>
          <w:rFonts w:ascii="Times New Roman" w:hAnsi="Times New Roman"/>
          <w:spacing w:val="-6"/>
          <w:sz w:val="22"/>
          <w:szCs w:val="22"/>
          <w:lang w:eastAsia="pt-BR"/>
        </w:rPr>
      </w:pPr>
    </w:p>
    <w:p w:rsidR="00CA4868" w:rsidRDefault="003067E0">
      <w:pPr>
        <w:autoSpaceDE w:val="0"/>
        <w:rPr>
          <w:rFonts w:ascii="Times New Roman" w:hAnsi="Times New Roman"/>
          <w:b/>
          <w:caps/>
          <w:spacing w:val="4"/>
          <w:sz w:val="22"/>
          <w:szCs w:val="22"/>
        </w:rPr>
      </w:pPr>
      <w:r>
        <w:rPr>
          <w:rFonts w:ascii="Times New Roman" w:hAnsi="Times New Roman"/>
          <w:b/>
          <w:caps/>
          <w:spacing w:val="4"/>
          <w:sz w:val="22"/>
          <w:szCs w:val="22"/>
        </w:rPr>
        <w:t xml:space="preserve">EMERSON DO NASCIMENTO FRAGA (MA) </w:t>
      </w:r>
      <w:r>
        <w:rPr>
          <w:rFonts w:ascii="Times New Roman" w:hAnsi="Times New Roman"/>
          <w:b/>
          <w:caps/>
          <w:spacing w:val="4"/>
          <w:sz w:val="22"/>
          <w:szCs w:val="22"/>
        </w:rPr>
        <w:tab/>
        <w:t xml:space="preserve">      __________________________________</w:t>
      </w:r>
    </w:p>
    <w:p w:rsidR="00CA4868" w:rsidRDefault="003067E0">
      <w:pPr>
        <w:autoSpaceDE w:val="0"/>
        <w:rPr>
          <w:rFonts w:ascii="Times New Roman" w:hAnsi="Times New Roman"/>
          <w:sz w:val="22"/>
          <w:szCs w:val="22"/>
          <w:lang w:eastAsia="pt-BR"/>
        </w:rPr>
      </w:pPr>
      <w:r>
        <w:rPr>
          <w:rFonts w:ascii="Times New Roman" w:hAnsi="Times New Roman"/>
          <w:sz w:val="22"/>
          <w:szCs w:val="22"/>
          <w:lang w:eastAsia="pt-BR"/>
        </w:rPr>
        <w:t>Membro</w:t>
      </w:r>
    </w:p>
    <w:p w:rsidR="00CA4868" w:rsidRDefault="003067E0">
      <w:pPr>
        <w:autoSpaceDE w:val="0"/>
      </w:pPr>
      <w:r>
        <w:rPr>
          <w:rFonts w:ascii="Times New Roman" w:hAnsi="Times New Roman"/>
          <w:sz w:val="22"/>
          <w:szCs w:val="22"/>
        </w:rPr>
        <w:t xml:space="preserve"> </w:t>
      </w:r>
    </w:p>
    <w:p w:rsidR="00CA4868" w:rsidRDefault="003067E0">
      <w:pPr>
        <w:autoSpaceDE w:val="0"/>
        <w:rPr>
          <w:rFonts w:ascii="Times New Roman" w:hAnsi="Times New Roman"/>
          <w:b/>
          <w:caps/>
          <w:spacing w:val="4"/>
          <w:sz w:val="22"/>
          <w:szCs w:val="22"/>
        </w:rPr>
      </w:pPr>
      <w:r>
        <w:rPr>
          <w:rFonts w:ascii="Times New Roman" w:hAnsi="Times New Roman"/>
          <w:b/>
          <w:caps/>
          <w:spacing w:val="4"/>
          <w:sz w:val="22"/>
          <w:szCs w:val="22"/>
        </w:rPr>
        <w:t>JEFERSON DANTAS NAVOLAR (PR)</w:t>
      </w:r>
      <w:r>
        <w:rPr>
          <w:rFonts w:ascii="Times New Roman" w:hAnsi="Times New Roman"/>
          <w:b/>
          <w:caps/>
          <w:spacing w:val="4"/>
          <w:sz w:val="22"/>
          <w:szCs w:val="22"/>
        </w:rPr>
        <w:tab/>
        <w:t xml:space="preserve"> </w:t>
      </w:r>
      <w:r>
        <w:rPr>
          <w:rFonts w:ascii="Times New Roman" w:hAnsi="Times New Roman"/>
          <w:b/>
          <w:caps/>
          <w:spacing w:val="4"/>
          <w:sz w:val="22"/>
          <w:szCs w:val="22"/>
        </w:rPr>
        <w:tab/>
        <w:t xml:space="preserve">      __________________________________</w:t>
      </w:r>
    </w:p>
    <w:p w:rsidR="00CA4868" w:rsidRDefault="003067E0">
      <w:pPr>
        <w:autoSpaceDE w:val="0"/>
      </w:pPr>
      <w:r>
        <w:rPr>
          <w:rFonts w:ascii="Times New Roman" w:hAnsi="Times New Roman"/>
          <w:sz w:val="22"/>
          <w:szCs w:val="22"/>
          <w:lang w:eastAsia="pt-BR"/>
        </w:rPr>
        <w:t>Membro</w:t>
      </w:r>
      <w:r>
        <w:rPr>
          <w:rFonts w:ascii="Times New Roman" w:hAnsi="Times New Roman"/>
          <w:b/>
          <w:caps/>
          <w:color w:val="000000"/>
          <w:spacing w:val="4"/>
          <w:sz w:val="22"/>
          <w:szCs w:val="22"/>
          <w:lang w:eastAsia="pt-BR"/>
        </w:rPr>
        <w:t xml:space="preserve"> </w:t>
      </w:r>
    </w:p>
    <w:sectPr w:rsidR="00CA4868">
      <w:headerReference w:type="default" r:id="rId7"/>
      <w:footerReference w:type="default" r:id="rId8"/>
      <w:pgSz w:w="595pt" w:h="842pt"/>
      <w:pgMar w:top="85.10pt" w:right="56.40pt" w:bottom="70.90pt" w:left="77.95pt" w:header="66.35pt" w:footer="29.20pt" w:gutter="0pt"/>
      <w:cols w:space="36pt"/>
      <w:rtlGutter/>
    </w:sectPr>
  </w:body>
</w:document>
</file>

<file path=word/endnotes.xml><?xml version="1.0" encoding="utf-8"?>
<w:end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endnote w:type="separator" w:id="-1">
    <w:p w:rsidR="003067E0" w:rsidRDefault="003067E0">
      <w:r>
        <w:separator/>
      </w:r>
    </w:p>
  </w:endnote>
  <w:endnote w:type="continuationSeparator" w:id="0">
    <w:p w:rsidR="003067E0" w:rsidRDefault="003067E0">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Times New Roman">
    <w:panose1 w:val="02020603050405020304"/>
    <w:charset w:characterSet="iso-8859-1"/>
    <w:family w:val="roman"/>
    <w:pitch w:val="variable"/>
    <w:sig w:usb0="E0002AFF" w:usb1="C0007841" w:usb2="00000009" w:usb3="00000000" w:csb0="000001FF" w:csb1="00000000"/>
  </w:font>
  <w:font w:name="Calibri">
    <w:panose1 w:val="020F0502020204030204"/>
    <w:charset w:characterSet="iso-8859-1"/>
    <w:family w:val="swiss"/>
    <w:pitch w:val="variable"/>
    <w:sig w:usb0="E00002FF" w:usb1="4000ACFF" w:usb2="00000001" w:usb3="00000000" w:csb0="0000019F" w:csb1="00000000"/>
  </w:font>
  <w:font w:name="Cambria">
    <w:panose1 w:val="02040503050406030204"/>
    <w:charset w:characterSet="iso-8859-1"/>
    <w:family w:val="roman"/>
    <w:pitch w:val="variable"/>
    <w:sig w:usb0="E00002FF" w:usb1="400004FF" w:usb2="00000000" w:usb3="00000000" w:csb0="0000019F" w:csb1="00000000"/>
  </w:font>
  <w:font w:name="Tahoma">
    <w:panose1 w:val="020B0604030504040204"/>
    <w:charset w:characterSet="iso-8859-1"/>
    <w:family w:val="swiss"/>
    <w:pitch w:val="variable"/>
    <w:sig w:usb0="E1002EFF" w:usb1="C000605B" w:usb2="00000029" w:usb3="00000000" w:csb0="000101FF" w:csb1="00000000"/>
  </w:font>
  <w:font w:name="Arial">
    <w:panose1 w:val="020B0604020202020204"/>
    <w:charset w:characterSet="iso-8859-1"/>
    <w:family w:val="swiss"/>
    <w:pitch w:val="variable"/>
    <w:sig w:usb0="E0002AFF" w:usb1="C0007843" w:usb2="00000009" w:usb3="00000000" w:csb0="000001FF" w:csb1="00000000"/>
  </w:font>
  <w:font w:name="Calibri Light">
    <w:panose1 w:val="020F0302020204030204"/>
    <w:charset w:characterSet="iso-8859-1"/>
    <w:family w:val="swiss"/>
    <w:pitch w:val="variable"/>
    <w:sig w:usb0="A00002EF" w:usb1="4000207B" w:usb2="00000000" w:usb3="00000000" w:csb0="0000019F" w:csb1="00000000"/>
  </w:font>
</w:fonts>
</file>

<file path=word/footer1.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700C46" w:rsidRDefault="00A94DE0">
    <w:pPr>
      <w:pStyle w:val="Rodap"/>
      <w:ind w:end="18pt"/>
    </w:pPr>
    <w:r>
      <w:rPr>
        <w:noProof/>
        <w:lang w:eastAsia="pt-BR"/>
      </w:rPr>
      <w:drawing>
        <wp:anchor distT="0" distB="0" distL="114300" distR="114300" simplePos="0" relativeHeight="251660288" behindDoc="0" locked="0" layoutInCell="1" allowOverlap="1">
          <wp:simplePos x="0" y="0"/>
          <wp:positionH relativeFrom="page">
            <wp:posOffset>6614795</wp:posOffset>
          </wp:positionH>
          <wp:positionV relativeFrom="paragraph">
            <wp:posOffset>-196850</wp:posOffset>
          </wp:positionV>
          <wp:extent cx="676910" cy="229870"/>
          <wp:effectExtent l="0" t="0" r="0" b="0"/>
          <wp:wrapSquare wrapText="bothSides"/>
          <wp:docPr id="2" name="Caixa de texto 2"/>
          <wp:cNvGraphicFramePr>
            <a:graphicFrameLocks xmlns:a="http://purl.oclc.org/ooxml/drawingml/main"/>
          </wp:cNvGraphicFramePr>
          <a:graphic xmlns:a="http://purl.oclc.org/ooxml/drawingml/main">
            <a:graphicData uri="http://schemas.microsoft.com/office/word/2010/wordprocessingShape">
              <wp:wsp>
                <wp:cNvSpPr txBox="1">
                  <a:spLocks/>
                </wp:cNvSpPr>
                <wp:spPr>
                  <a:xfrm>
                    <a:off x="0" y="0"/>
                    <a:ext cx="676910" cy="229870"/>
                  </a:xfrm>
                  <a:prstGeom prst="rect">
                    <a:avLst/>
                  </a:prstGeom>
                  <a:ln>
                    <a:noFill/>
                    <a:prstDash/>
                  </a:ln>
                </wp:spPr>
                <wp:txbx>
                  <wne:txbxContent>
                    <w:p w:rsidR="00700C46" w:rsidRDefault="003067E0">
                      <w:pPr>
                        <w:pStyle w:val="Rodap"/>
                        <w:jc w:val="end"/>
                      </w:pPr>
                      <w:r>
                        <w:rPr>
                          <w:rStyle w:val="Nmerodepgina"/>
                          <w:rFonts w:ascii="Arial" w:hAnsi="Arial"/>
                          <w:color w:val="296D7A"/>
                          <w:sz w:val="18"/>
                        </w:rPr>
                        <w:fldChar w:fldCharType="begin"/>
                      </w:r>
                      <w:r>
                        <w:rPr>
                          <w:rStyle w:val="Nmerodepgina"/>
                          <w:rFonts w:ascii="Arial" w:hAnsi="Arial"/>
                          <w:color w:val="296D7A"/>
                          <w:sz w:val="18"/>
                        </w:rPr>
                        <w:instrText xml:space="preserve"> PAGE </w:instrText>
                      </w:r>
                      <w:r>
                        <w:rPr>
                          <w:rStyle w:val="Nmerodepgina"/>
                          <w:rFonts w:ascii="Arial" w:hAnsi="Arial"/>
                          <w:color w:val="296D7A"/>
                          <w:sz w:val="18"/>
                        </w:rPr>
                        <w:fldChar w:fldCharType="separate"/>
                      </w:r>
                      <w:r w:rsidR="00A94DE0">
                        <w:rPr>
                          <w:rStyle w:val="Nmerodepgina"/>
                          <w:rFonts w:ascii="Arial" w:hAnsi="Arial"/>
                          <w:noProof/>
                          <w:color w:val="296D7A"/>
                          <w:sz w:val="18"/>
                        </w:rPr>
                        <w:t>1</w:t>
                      </w:r>
                      <w:r>
                        <w:rPr>
                          <w:rStyle w:val="Nmerodepgina"/>
                          <w:rFonts w:ascii="Arial" w:hAnsi="Arial"/>
                          <w:color w:val="296D7A"/>
                          <w:sz w:val="18"/>
                        </w:rPr>
                        <w:fldChar w:fldCharType="end"/>
                      </w:r>
                    </w:p>
                  </wne:txbxContent>
                </wp:txbx>
                <wp:bodyPr lIns="0" tIns="0" rIns="0" bIns="0"/>
              </wp:wsp>
            </a:graphicData>
          </a:graphic>
          <wp14:sizeRelH relativeFrom="page">
            <wp14:pctWidth>0%</wp14:pctWidth>
          </wp14:sizeRelH>
          <wp14:sizeRelV relativeFrom="page">
            <wp14:pctHeight>0%</wp14:pctHeight>
          </wp14:sizeRelV>
        </wp:anchor>
      </w:drawing>
    </w:r>
    <w:r>
      <w:rPr>
        <w:noProof/>
        <w:lang w:eastAsia="pt-BR"/>
      </w:rPr>
      <w:drawing>
        <wp:anchor distT="0" distB="0" distL="114300" distR="114300" simplePos="0" relativeHeight="251661312" behindDoc="1" locked="0" layoutInCell="1" allowOverlap="1">
          <wp:simplePos x="0" y="0"/>
          <wp:positionH relativeFrom="column">
            <wp:posOffset>-990600</wp:posOffset>
          </wp:positionH>
          <wp:positionV relativeFrom="paragraph">
            <wp:posOffset>-519430</wp:posOffset>
          </wp:positionV>
          <wp:extent cx="7547610" cy="1081405"/>
          <wp:effectExtent l="0" t="0" r="0" b="0"/>
          <wp:wrapNone/>
          <wp:docPr id="3" name="Imagem 1" descr="CAU-BR-timbrado2015--rodape"/>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Imagem 1" descr="CAU-BR-timbrado2015--rodap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7610" cy="10814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footnote w:type="separator" w:id="-1">
    <w:p w:rsidR="003067E0" w:rsidRDefault="003067E0">
      <w:r>
        <w:rPr>
          <w:color w:val="000000"/>
        </w:rPr>
        <w:separator/>
      </w:r>
    </w:p>
  </w:footnote>
  <w:footnote w:type="continuationSeparator" w:id="0">
    <w:p w:rsidR="003067E0" w:rsidRDefault="003067E0">
      <w:r>
        <w:continuationSeparator/>
      </w:r>
    </w:p>
  </w:footnote>
</w:footnotes>
</file>

<file path=word/header1.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700C46" w:rsidRDefault="00A94DE0">
    <w:pPr>
      <w:pStyle w:val="Cabealho"/>
      <w:tabs>
        <w:tab w:val="clear" w:pos="216pt"/>
        <w:tab w:val="start" w:pos="144pt"/>
        <w:tab w:val="start" w:pos="306pt"/>
      </w:tabs>
      <w:ind w:start="29.35pt"/>
    </w:pPr>
    <w:r>
      <w:rPr>
        <w:noProof/>
        <w:lang w:eastAsia="pt-BR"/>
      </w:rPr>
      <w:drawing>
        <wp:anchor distT="0" distB="0" distL="114300" distR="114300" simplePos="0" relativeHeight="251658240" behindDoc="1" locked="0" layoutInCell="1" allowOverlap="1">
          <wp:simplePos x="0" y="0"/>
          <wp:positionH relativeFrom="column">
            <wp:posOffset>-995680</wp:posOffset>
          </wp:positionH>
          <wp:positionV relativeFrom="paragraph">
            <wp:posOffset>-849630</wp:posOffset>
          </wp:positionV>
          <wp:extent cx="7549515" cy="1076325"/>
          <wp:effectExtent l="0" t="0" r="0" b="0"/>
          <wp:wrapNone/>
          <wp:docPr id="1" name="Imagem 2" descr="CAU-BR-timbrado2015-edit-17"/>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Imagem 2" descr="CAU-BR-timbrado2015-edit-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9515" cy="10763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abstractNum w:abstractNumId="0" w15:restartNumberingAfterBreak="0">
    <w:nsid w:val="15756FD7"/>
    <w:multiLevelType w:val="multilevel"/>
    <w:tmpl w:val="B9B2796E"/>
    <w:lvl w:ilvl="0">
      <w:start w:val="1"/>
      <w:numFmt w:val="decimal"/>
      <w:lvlText w:val="%1-"/>
      <w:lvlJc w:val="start"/>
      <w:pPr>
        <w:ind w:start="36pt" w:hanging="18pt"/>
      </w:pPr>
      <w:rPr>
        <w:rFonts w:cs="Times New Roman"/>
      </w:rPr>
    </w:lvl>
    <w:lvl w:ilvl="1">
      <w:start w:val="1"/>
      <w:numFmt w:val="lowerLetter"/>
      <w:lvlText w:val="%2."/>
      <w:lvlJc w:val="start"/>
      <w:pPr>
        <w:ind w:start="72pt" w:hanging="18pt"/>
      </w:pPr>
      <w:rPr>
        <w:rFonts w:cs="Times New Roman"/>
      </w:rPr>
    </w:lvl>
    <w:lvl w:ilvl="2">
      <w:start w:val="1"/>
      <w:numFmt w:val="lowerRoman"/>
      <w:lvlText w:val="%3."/>
      <w:lvlJc w:val="end"/>
      <w:pPr>
        <w:ind w:start="108pt" w:hanging="9pt"/>
      </w:pPr>
      <w:rPr>
        <w:rFonts w:cs="Times New Roman"/>
      </w:rPr>
    </w:lvl>
    <w:lvl w:ilvl="3">
      <w:start w:val="1"/>
      <w:numFmt w:val="decimal"/>
      <w:lvlText w:val="%4."/>
      <w:lvlJc w:val="start"/>
      <w:pPr>
        <w:ind w:start="144pt" w:hanging="18pt"/>
      </w:pPr>
      <w:rPr>
        <w:rFonts w:cs="Times New Roman"/>
      </w:rPr>
    </w:lvl>
    <w:lvl w:ilvl="4">
      <w:start w:val="1"/>
      <w:numFmt w:val="lowerLetter"/>
      <w:lvlText w:val="%5."/>
      <w:lvlJc w:val="start"/>
      <w:pPr>
        <w:ind w:start="180pt" w:hanging="18pt"/>
      </w:pPr>
      <w:rPr>
        <w:rFonts w:cs="Times New Roman"/>
      </w:rPr>
    </w:lvl>
    <w:lvl w:ilvl="5">
      <w:start w:val="1"/>
      <w:numFmt w:val="lowerRoman"/>
      <w:lvlText w:val="%6."/>
      <w:lvlJc w:val="end"/>
      <w:pPr>
        <w:ind w:start="216pt" w:hanging="9pt"/>
      </w:pPr>
      <w:rPr>
        <w:rFonts w:cs="Times New Roman"/>
      </w:rPr>
    </w:lvl>
    <w:lvl w:ilvl="6">
      <w:start w:val="1"/>
      <w:numFmt w:val="decimal"/>
      <w:lvlText w:val="%7."/>
      <w:lvlJc w:val="start"/>
      <w:pPr>
        <w:ind w:start="252pt" w:hanging="18pt"/>
      </w:pPr>
      <w:rPr>
        <w:rFonts w:cs="Times New Roman"/>
      </w:rPr>
    </w:lvl>
    <w:lvl w:ilvl="7">
      <w:start w:val="1"/>
      <w:numFmt w:val="lowerLetter"/>
      <w:lvlText w:val="%8."/>
      <w:lvlJc w:val="start"/>
      <w:pPr>
        <w:ind w:start="288pt" w:hanging="18pt"/>
      </w:pPr>
      <w:rPr>
        <w:rFonts w:cs="Times New Roman"/>
      </w:rPr>
    </w:lvl>
    <w:lvl w:ilvl="8">
      <w:start w:val="1"/>
      <w:numFmt w:val="lowerRoman"/>
      <w:lvlText w:val="%9."/>
      <w:lvlJc w:val="end"/>
      <w:pPr>
        <w:ind w:start="324pt" w:hanging="9pt"/>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zoom w:percent="100%"/>
  <w:attachedTemplate r:id="rId1"/>
  <w:defaultTabStop w:val="35.40pt"/>
  <w:autoHyphenation/>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868"/>
    <w:rsid w:val="003067E0"/>
    <w:rsid w:val="00700C46"/>
    <w:rsid w:val="00A94DE0"/>
    <w:rsid w:val="00AF29A9"/>
    <w:rsid w:val="00CA486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31BF5EAE-55FE-4F54-9E92-22A539979B6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Calibri" w:eastAsia="Times New Roman" w:hAnsi="Calibri" w:cs="Times New Roman"/>
        <w:sz w:val="22"/>
        <w:szCs w:val="22"/>
        <w:lang w:val="pt-BR" w:eastAsia="en-US" w:bidi="ar-SA"/>
      </w:rPr>
    </w:rPrDefault>
    <w:pPrDefault>
      <w:pPr>
        <w:spacing w:after="8pt" w:line="12.80pt"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autoSpaceDN w:val="0"/>
      <w:spacing w:after="0pt" w:line="12pt" w:lineRule="auto"/>
    </w:pPr>
    <w:rPr>
      <w:rFonts w:ascii="Cambria" w:hAnsi="Cambria"/>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pt" w:type="dxa"/>
      <w:tblCellMar>
        <w:top w:w="0pt" w:type="dxa"/>
        <w:start w:w="5.40pt" w:type="dxa"/>
        <w:bottom w:w="0pt" w:type="dxa"/>
        <w:end w:w="5.40pt" w:type="dxa"/>
      </w:tblCellMar>
    </w:tblPr>
  </w:style>
  <w:style w:type="numbering" w:default="1" w:styleId="Semlista">
    <w:name w:val="No List"/>
    <w:uiPriority w:val="99"/>
    <w:semiHidden/>
    <w:unhideWhenUsed/>
  </w:style>
  <w:style w:type="paragraph" w:styleId="Cabealho">
    <w:name w:val="header"/>
    <w:basedOn w:val="Normal"/>
    <w:link w:val="CabealhoChar"/>
    <w:uiPriority w:val="99"/>
    <w:pPr>
      <w:tabs>
        <w:tab w:val="center" w:pos="216pt"/>
        <w:tab w:val="end" w:pos="432pt"/>
      </w:tabs>
    </w:pPr>
  </w:style>
  <w:style w:type="character" w:customStyle="1" w:styleId="CabealhoChar">
    <w:name w:val="Cabeçalho Char"/>
    <w:basedOn w:val="Fontepargpadro"/>
    <w:link w:val="Cabealho"/>
    <w:uiPriority w:val="99"/>
    <w:rPr>
      <w:rFonts w:ascii="Cambria" w:eastAsia="Times New Roman" w:hAnsi="Cambria" w:cs="Times New Roman"/>
      <w:sz w:val="24"/>
      <w:szCs w:val="24"/>
    </w:rPr>
  </w:style>
  <w:style w:type="paragraph" w:styleId="Rodap">
    <w:name w:val="footer"/>
    <w:basedOn w:val="Normal"/>
    <w:link w:val="RodapChar"/>
    <w:uiPriority w:val="99"/>
    <w:pPr>
      <w:tabs>
        <w:tab w:val="center" w:pos="216pt"/>
        <w:tab w:val="end" w:pos="432pt"/>
      </w:tabs>
    </w:pPr>
  </w:style>
  <w:style w:type="character" w:customStyle="1" w:styleId="RodapChar">
    <w:name w:val="Rodapé Char"/>
    <w:basedOn w:val="Fontepargpadro"/>
    <w:link w:val="Rodap"/>
    <w:uiPriority w:val="99"/>
    <w:rPr>
      <w:rFonts w:ascii="Cambria" w:eastAsia="Times New Roman" w:hAnsi="Cambria" w:cs="Times New Roman"/>
      <w:sz w:val="24"/>
      <w:szCs w:val="24"/>
    </w:rPr>
  </w:style>
  <w:style w:type="character" w:styleId="Nmerodepgina">
    <w:name w:val="page number"/>
    <w:basedOn w:val="Fontepargpadro"/>
    <w:uiPriority w:val="99"/>
    <w:rPr>
      <w:rFonts w:cs="Times New Roman"/>
    </w:rPr>
  </w:style>
  <w:style w:type="paragraph" w:styleId="PargrafodaLista">
    <w:name w:val="List Paragraph"/>
    <w:basedOn w:val="Normal"/>
    <w:uiPriority w:val="34"/>
    <w:pPr>
      <w:ind w:start="35.40pt"/>
    </w:pPr>
  </w:style>
  <w:style w:type="paragraph" w:styleId="Corpodetexto">
    <w:name w:val="Body Text"/>
    <w:basedOn w:val="Normal"/>
    <w:link w:val="CorpodetextoChar"/>
    <w:uiPriority w:val="99"/>
    <w:pPr>
      <w:widowControl w:val="0"/>
      <w:autoSpaceDE w:val="0"/>
      <w:ind w:start="62pt"/>
    </w:pPr>
    <w:rPr>
      <w:rFonts w:ascii="Tahoma" w:hAnsi="Tahoma" w:cs="Tahoma"/>
      <w:sz w:val="22"/>
      <w:szCs w:val="22"/>
      <w:lang w:val="en-US"/>
    </w:rPr>
  </w:style>
  <w:style w:type="character" w:customStyle="1" w:styleId="CorpodetextoChar">
    <w:name w:val="Corpo de texto Char"/>
    <w:basedOn w:val="Fontepargpadro"/>
    <w:link w:val="Corpodetexto"/>
    <w:uiPriority w:val="99"/>
    <w:rPr>
      <w:rFonts w:ascii="Tahoma" w:eastAsia="Times New Roman" w:hAnsi="Tahoma" w:cs="Tahoma"/>
      <w:lang w:val="en-US" w:eastAsia="x-none"/>
    </w:rPr>
  </w:style>
  <w:style w:type="paragraph" w:customStyle="1" w:styleId="texto1">
    <w:name w:val="texto1"/>
    <w:basedOn w:val="Normal"/>
    <w:pPr>
      <w:spacing w:before="5pt" w:after="5pt"/>
    </w:pPr>
    <w:rPr>
      <w:rFonts w:ascii="Times New Roman" w:hAnsi="Times New Roman"/>
      <w:lang w:eastAsia="pt-BR"/>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ettings" Target="settings.xml"/><Relationship Id="rId7" Type="http://purl.oclc.org/ooxml/officeDocument/relationships/header" Target="header1.xml"/><Relationship Id="rId2" Type="http://purl.oclc.org/ooxml/officeDocument/relationships/styles" Target="styles.xml"/><Relationship Id="rId1" Type="http://purl.oclc.org/ooxml/officeDocument/relationships/numbering" Target="numbering.xml"/><Relationship Id="rId6" Type="http://purl.oclc.org/ooxml/officeDocument/relationships/endnotes" Target="endnotes.xml"/><Relationship Id="rId5" Type="http://purl.oclc.org/ooxml/officeDocument/relationships/footnotes" Target="footnotes.xml"/><Relationship Id="rId10" Type="http://purl.oclc.org/ooxml/officeDocument/relationships/theme" Target="theme/theme1.xml"/><Relationship Id="rId4" Type="http://purl.oclc.org/ooxml/officeDocument/relationships/webSettings" Target="webSettings.xml"/><Relationship Id="rId9" Type="http://purl.oclc.org/ooxml/officeDocument/relationships/fontTable" Target="fontTable.xml"/></Relationships>
</file>

<file path=word/_rels/footer1.xml.rels><?xml version="1.0" encoding="UTF-8" standalone="yes"?>
<Relationships xmlns="http://schemas.openxmlformats.org/package/2006/relationships"><Relationship Id="rId1" Type="http://purl.oclc.org/ooxml/officeDocument/relationships/image" Target="media/image2.jpeg"/></Relationships>
</file>

<file path=word/_rels/header1.xml.rels><?xml version="1.0" encoding="UTF-8" standalone="yes"?>
<Relationships xmlns="http://schemas.openxmlformats.org/package/2006/relationships"><Relationship Id="rId1" Type="http://purl.oclc.org/ooxml/officeDocument/relationships/image" Target="media/image1.jpeg"/></Relationships>
</file>

<file path=word/_rels/settings.xml.rels><?xml version="1.0" encoding="UTF-8" standalone="yes"?>
<Relationships xmlns="http://schemas.openxmlformats.org/package/2006/relationships"><Relationship Id="rId1" Type="http://purl.oclc.org/ooxml/officeDocument/relationships/attachedTemplate" Target="Normal" TargetMode="External"/></Relationships>
</file>

<file path=word/theme/theme1.xml><?xml version="1.0" encoding="utf-8"?>
<a:theme xmlns:a="http://purl.oclc.org/ooxml/drawingml/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purl.oclc.org/ooxml/officeDocument/extendedProperties" xmlns:vt="http://purl.oclc.org/ooxml/officeDocument/docPropsVTypes">
  <Template>Normal</Template>
  <TotalTime>0</TotalTime>
  <Pages>2</Pages>
  <Words>918</Words>
  <Characters>4961</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Martins Silva</dc:creator>
  <cp:keywords/>
  <dc:description/>
  <cp:lastModifiedBy>Pedro Martins Silva</cp:lastModifiedBy>
  <cp:revision>2</cp:revision>
  <dcterms:created xsi:type="dcterms:W3CDTF">2019-08-06T14:39:00Z</dcterms:created>
  <dcterms:modified xsi:type="dcterms:W3CDTF">2019-08-06T14:39:00Z</dcterms:modified>
</cp:coreProperties>
</file>