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AE7F10" w:rsidRDefault="00AE7F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AE7F1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E7F10" w:rsidRDefault="00043DAA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E7F10" w:rsidRDefault="00AE7F10">
            <w:pPr>
              <w:widowControl w:val="0"/>
              <w:rPr>
                <w:rFonts w:ascii="Times New Roman" w:hAnsi="Times New Roman"/>
                <w:bCs/>
                <w:shd w:val="clear" w:color="auto" w:fill="FFFF00"/>
                <w:lang w:eastAsia="pt-BR"/>
              </w:rPr>
            </w:pPr>
          </w:p>
        </w:tc>
      </w:tr>
      <w:tr w:rsidR="00AE7F1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E7F10" w:rsidRDefault="00043DAA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E7F10" w:rsidRDefault="00043DAA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AE7F1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E7F10" w:rsidRDefault="00043DAA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E7F10" w:rsidRDefault="00043DAA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PAGAMENTO DE HONORÁRIOS DE SUCUMBÊNCIA AOS ADVOGADOS DO CAU</w:t>
            </w:r>
          </w:p>
        </w:tc>
      </w:tr>
    </w:tbl>
    <w:p w:rsidR="00AE7F10" w:rsidRDefault="00043DAA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71/2018 – (COA-CAU/BR)</w:t>
      </w:r>
    </w:p>
    <w:p w:rsidR="00AE7F10" w:rsidRDefault="00AE7F1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E7F10" w:rsidRDefault="00043DA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ORGANIZAÇÃO E ADMINISTRAÇÃO – </w:t>
      </w:r>
      <w:r>
        <w:rPr>
          <w:rFonts w:ascii="Times New Roman" w:hAnsi="Times New Roman"/>
          <w:sz w:val="22"/>
          <w:szCs w:val="22"/>
          <w:lang w:eastAsia="pt-BR"/>
        </w:rPr>
        <w:t>(COA-CAU/BR), reunida ordinariamente em Brasília-DF, na sede do CAU/BR, no dia 04 de outubro de 2018, no uso das competências que lhe conferem os incisos I e II do art. 102 do Regimento Interno do CAU/BR, após análise do assunto em epígrafe; e</w:t>
      </w:r>
    </w:p>
    <w:p w:rsidR="00AE7F10" w:rsidRDefault="00AE7F1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E7F10" w:rsidRDefault="00043DA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</w:t>
      </w:r>
      <w:r>
        <w:rPr>
          <w:rFonts w:ascii="Times New Roman" w:hAnsi="Times New Roman"/>
          <w:sz w:val="22"/>
          <w:szCs w:val="22"/>
          <w:lang w:eastAsia="pt-BR"/>
        </w:rPr>
        <w:t>o as consultas realizadas quanto ao pagamento de honorários advocatícios de sucumbência a advogados dos Conselhos de Arquitetura e Urbanismo dos Estados e do Distrito Federal, em ações judiciais, por meio dos Protocolos SICCAU 559738/2017 e 589380/2017;</w:t>
      </w:r>
    </w:p>
    <w:p w:rsidR="00AE7F10" w:rsidRDefault="00AE7F1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E7F10" w:rsidRDefault="00043DA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previsão legal contida no art. 85, § 1º e 3º da Lei n° 13.105, de 16 de março de 2015 – Novo Código de Processo Civil;</w:t>
      </w:r>
    </w:p>
    <w:p w:rsidR="00AE7F10" w:rsidRDefault="00AE7F10">
      <w:pPr>
        <w:pStyle w:val="NormalWeb"/>
        <w:shd w:val="clear" w:color="auto" w:fill="FFFFFF"/>
        <w:spacing w:after="0pt"/>
        <w:ind w:end="5.40pt"/>
        <w:jc w:val="both"/>
        <w:rPr>
          <w:rFonts w:eastAsia="Cambria"/>
          <w:sz w:val="22"/>
          <w:szCs w:val="22"/>
        </w:rPr>
      </w:pPr>
    </w:p>
    <w:p w:rsidR="00AE7F10" w:rsidRDefault="00043DAA">
      <w:pPr>
        <w:pStyle w:val="NormalWeb"/>
        <w:shd w:val="clear" w:color="auto" w:fill="FFFFFF"/>
        <w:spacing w:after="0pt"/>
        <w:ind w:end="5.40pt"/>
        <w:jc w:val="both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Considerando que a Lei n° 13.105, de 2015, prevê, no § 19 do art. 85, que “os advogados públicos perceberão honorários de</w:t>
      </w:r>
      <w:r>
        <w:rPr>
          <w:rFonts w:eastAsia="Cambria"/>
          <w:sz w:val="22"/>
          <w:szCs w:val="22"/>
        </w:rPr>
        <w:t xml:space="preserve"> sucumbência, nos termos da lei”;</w:t>
      </w:r>
    </w:p>
    <w:p w:rsidR="00AE7F10" w:rsidRDefault="00AE7F10">
      <w:pPr>
        <w:pStyle w:val="NormalWeb"/>
        <w:shd w:val="clear" w:color="auto" w:fill="FFFFFF"/>
        <w:spacing w:after="0pt"/>
        <w:jc w:val="both"/>
        <w:rPr>
          <w:rFonts w:eastAsia="Cambria"/>
          <w:sz w:val="22"/>
          <w:szCs w:val="22"/>
        </w:rPr>
      </w:pPr>
    </w:p>
    <w:p w:rsidR="00AE7F10" w:rsidRDefault="00043DAA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o Tribunal de Contas da União (TCU) reconheceu, no Acórdão n° 1.167/2015-Plenário, que “com a superveniência do Novo Código de Processo Civil, os advogados públicos podem perceber honorários de </w:t>
      </w:r>
      <w:r>
        <w:rPr>
          <w:rFonts w:ascii="Times New Roman" w:hAnsi="Times New Roman"/>
          <w:sz w:val="22"/>
          <w:szCs w:val="22"/>
          <w:lang w:eastAsia="pt-BR"/>
        </w:rPr>
        <w:t>sucumbência, nos termos da lei (art. 85, § 19, da Lei 13.105, de 16/03/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2015)”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hAnsi="Times New Roman"/>
          <w:color w:val="00B0F0"/>
          <w:sz w:val="22"/>
          <w:szCs w:val="22"/>
          <w:lang w:eastAsia="pt-BR"/>
        </w:rPr>
        <w:t xml:space="preserve"> </w:t>
      </w:r>
    </w:p>
    <w:p w:rsidR="00AE7F10" w:rsidRDefault="00AE7F10">
      <w:pPr>
        <w:jc w:val="both"/>
        <w:rPr>
          <w:rFonts w:ascii="Times New Roman" w:hAnsi="Times New Roman"/>
          <w:color w:val="00B0F0"/>
          <w:sz w:val="22"/>
          <w:szCs w:val="22"/>
          <w:lang w:eastAsia="pt-BR"/>
        </w:rPr>
      </w:pPr>
    </w:p>
    <w:p w:rsidR="00AE7F10" w:rsidRDefault="00043DAA">
      <w:pPr>
        <w:pStyle w:val="NormalWeb"/>
        <w:shd w:val="clear" w:color="auto" w:fill="FFFFFF"/>
        <w:spacing w:after="0pt"/>
        <w:ind w:end="5.65pt"/>
        <w:jc w:val="both"/>
      </w:pPr>
      <w:r>
        <w:rPr>
          <w:sz w:val="22"/>
          <w:szCs w:val="22"/>
        </w:rPr>
        <w:t>Considerando que o Tribunal de Contas da União (TCU), por meio do Acórdão n° 2.467/2017-Plenário, interpretando a norma contida no § 19 do art. 85 do CPC entendeu que “...</w:t>
      </w:r>
      <w:r>
        <w:rPr>
          <w:i/>
          <w:iCs/>
          <w:sz w:val="22"/>
          <w:szCs w:val="22"/>
        </w:rPr>
        <w:t xml:space="preserve"> é </w:t>
      </w:r>
      <w:r>
        <w:rPr>
          <w:i/>
          <w:iCs/>
          <w:sz w:val="22"/>
          <w:szCs w:val="22"/>
        </w:rPr>
        <w:t xml:space="preserve">razoável concluir que, atualmente, a única condição posta diz respeito à necessidade de norma regulamentadora sobre a forma de percepção desses honorários”, e ainda que “Diferentemente das disposições sobre o assunto na Lei 8.906/94 (Estatuto da OAB), não </w:t>
      </w:r>
      <w:r>
        <w:rPr>
          <w:i/>
          <w:iCs/>
          <w:sz w:val="22"/>
          <w:szCs w:val="22"/>
        </w:rPr>
        <w:t>está expresso na norma do novo CPC que o recebimento das verbas sucumbenciais pelos advogados públicos seja um direito autônomo, mas sim condicionado à regulamentação”;</w:t>
      </w:r>
    </w:p>
    <w:p w:rsidR="00AE7F10" w:rsidRDefault="00AE7F10">
      <w:pPr>
        <w:pStyle w:val="NormalWeb"/>
        <w:shd w:val="clear" w:color="auto" w:fill="FFFFFF"/>
        <w:spacing w:after="0pt"/>
        <w:ind w:end="5.65pt"/>
        <w:jc w:val="both"/>
        <w:rPr>
          <w:rFonts w:eastAsia="Cambria"/>
          <w:sz w:val="22"/>
          <w:szCs w:val="22"/>
        </w:rPr>
      </w:pPr>
    </w:p>
    <w:p w:rsidR="00AE7F10" w:rsidRDefault="00043DAA">
      <w:pPr>
        <w:pStyle w:val="NormalWeb"/>
        <w:shd w:val="clear" w:color="auto" w:fill="FFFFFF"/>
        <w:spacing w:after="0pt"/>
        <w:ind w:end="5.65pt"/>
        <w:jc w:val="both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Considerando o disposto nos artigos 21 e 23 da Lei n° 8.906, de 4 de julho de 1994 – E</w:t>
      </w:r>
      <w:r>
        <w:rPr>
          <w:rFonts w:eastAsia="Cambria"/>
          <w:sz w:val="22"/>
          <w:szCs w:val="22"/>
        </w:rPr>
        <w:t>statuto da Advocacia e da OAB, cuja constitucionalidade foi declarada pelo STF por meio da ADI n° 1194, e que assevera que “os honorários de sucumbência são devidos aos advogados empregados”, bem como que “os honorários incluídos na condenação, por arbitra</w:t>
      </w:r>
      <w:r>
        <w:rPr>
          <w:rFonts w:eastAsia="Cambria"/>
          <w:sz w:val="22"/>
          <w:szCs w:val="22"/>
        </w:rPr>
        <w:t>mento ou sucumbência, pertencem ao advogado”;</w:t>
      </w:r>
    </w:p>
    <w:p w:rsidR="00AE7F10" w:rsidRDefault="00AE7F10">
      <w:pPr>
        <w:pStyle w:val="NormalWeb"/>
        <w:shd w:val="clear" w:color="auto" w:fill="FFFFFF"/>
        <w:spacing w:before="0.55pt" w:after="0pt"/>
        <w:jc w:val="both"/>
        <w:rPr>
          <w:rFonts w:eastAsia="Cambria"/>
          <w:sz w:val="22"/>
          <w:szCs w:val="22"/>
        </w:rPr>
      </w:pPr>
    </w:p>
    <w:p w:rsidR="00AE7F10" w:rsidRDefault="00043DAA">
      <w:pPr>
        <w:pStyle w:val="NormalWeb"/>
        <w:shd w:val="clear" w:color="auto" w:fill="FFFFFF"/>
        <w:spacing w:after="0pt"/>
        <w:ind w:end="5.40pt"/>
        <w:jc w:val="both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 xml:space="preserve">Considerando que a Comissão Nacional da Advocacia Pública da OAB tem entendimento sumulado de que “Os honorários constituem direito autônomo do advogado, seja ele público ou privado. A apropriação dos valores </w:t>
      </w:r>
      <w:r>
        <w:rPr>
          <w:rFonts w:eastAsia="Cambria"/>
          <w:sz w:val="22"/>
          <w:szCs w:val="22"/>
        </w:rPr>
        <w:t>pagos a título de honorários sucumbenciais como se fosse verba pública pelos Entes Federados configura apropriação indevida”;</w:t>
      </w:r>
    </w:p>
    <w:p w:rsidR="00AE7F10" w:rsidRDefault="00AE7F10">
      <w:pPr>
        <w:pStyle w:val="NormalWeb"/>
        <w:shd w:val="clear" w:color="auto" w:fill="FFFFFF"/>
        <w:spacing w:after="0pt"/>
        <w:jc w:val="both"/>
        <w:rPr>
          <w:rFonts w:eastAsia="Cambria"/>
          <w:sz w:val="22"/>
          <w:szCs w:val="22"/>
        </w:rPr>
      </w:pPr>
    </w:p>
    <w:p w:rsidR="00AE7F10" w:rsidRDefault="00043DAA">
      <w:pPr>
        <w:pStyle w:val="NormalWeb"/>
        <w:shd w:val="clear" w:color="auto" w:fill="FFFFFF"/>
        <w:spacing w:after="0pt"/>
        <w:ind w:end="5.40pt"/>
        <w:jc w:val="both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Considerando ainda que a referida Comissão possui entendimento pacificado pela Súmula 10, no sentido de que –“Os Advogados Públic</w:t>
      </w:r>
      <w:r>
        <w:rPr>
          <w:rFonts w:eastAsia="Cambria"/>
          <w:sz w:val="22"/>
          <w:szCs w:val="22"/>
        </w:rPr>
        <w:t>os têm os direitos e prerrogativas insertos no Estatuto da OAB”;</w:t>
      </w:r>
    </w:p>
    <w:p w:rsidR="00AE7F10" w:rsidRDefault="00AE7F10">
      <w:pPr>
        <w:pStyle w:val="NormalWeb"/>
        <w:shd w:val="clear" w:color="auto" w:fill="FFFFFF"/>
        <w:spacing w:after="0pt"/>
        <w:ind w:end="5.40pt"/>
        <w:jc w:val="both"/>
        <w:rPr>
          <w:rFonts w:eastAsia="Cambria"/>
          <w:sz w:val="22"/>
          <w:szCs w:val="22"/>
        </w:rPr>
      </w:pPr>
    </w:p>
    <w:p w:rsidR="00AE7F10" w:rsidRDefault="00043DAA">
      <w:pPr>
        <w:pStyle w:val="NormalWeb"/>
        <w:shd w:val="clear" w:color="auto" w:fill="FFFFFF"/>
        <w:spacing w:after="0pt"/>
        <w:ind w:end="5.40pt"/>
        <w:jc w:val="both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 xml:space="preserve">Considerando que “os honorários constituem direito do advogado e têm natureza alimentar, conforme Súmula Vinculante 47, do Supremo Tribunal Federal – STF, sendo vedada a compensação em caso </w:t>
      </w:r>
      <w:r>
        <w:rPr>
          <w:rFonts w:eastAsia="Cambria"/>
          <w:sz w:val="22"/>
          <w:szCs w:val="22"/>
        </w:rPr>
        <w:t>de sucumbência parcial” a teor do que dispõe o art. 85, § 14 do Código de Processo Civil;</w:t>
      </w:r>
    </w:p>
    <w:p w:rsidR="00AE7F10" w:rsidRDefault="00AE7F10">
      <w:pPr>
        <w:pStyle w:val="NormalWeb"/>
        <w:shd w:val="clear" w:color="auto" w:fill="FFFFFF"/>
        <w:spacing w:after="0pt"/>
        <w:ind w:end="5.40pt"/>
        <w:jc w:val="both"/>
        <w:rPr>
          <w:rFonts w:eastAsia="Cambria"/>
          <w:sz w:val="22"/>
          <w:szCs w:val="22"/>
        </w:rPr>
      </w:pPr>
    </w:p>
    <w:p w:rsidR="00AE7F10" w:rsidRDefault="00043DAA">
      <w:pPr>
        <w:pStyle w:val="NormalWeb"/>
        <w:shd w:val="clear" w:color="auto" w:fill="FFFFFF"/>
        <w:spacing w:after="0pt"/>
        <w:ind w:end="5.40pt"/>
        <w:jc w:val="both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lastRenderedPageBreak/>
        <w:t>Considerando que a matéria vem sendo esparsamente regulamentada pelos CAU/UF a exemplo dos Estados do RN, PB, PE, PI, PR e SP, sendo que seria desejável que houvesse</w:t>
      </w:r>
      <w:r>
        <w:rPr>
          <w:rFonts w:eastAsia="Cambria"/>
          <w:sz w:val="22"/>
          <w:szCs w:val="22"/>
        </w:rPr>
        <w:t xml:space="preserve"> uma uniformização na regulação da matéria;</w:t>
      </w:r>
    </w:p>
    <w:p w:rsidR="00AE7F10" w:rsidRDefault="00AE7F10">
      <w:pPr>
        <w:pStyle w:val="NormalWeb"/>
        <w:shd w:val="clear" w:color="auto" w:fill="FFFFFF"/>
        <w:spacing w:after="0pt"/>
        <w:ind w:end="5.40pt"/>
        <w:jc w:val="both"/>
        <w:rPr>
          <w:rFonts w:eastAsia="Cambria"/>
          <w:sz w:val="22"/>
          <w:szCs w:val="22"/>
        </w:rPr>
      </w:pPr>
    </w:p>
    <w:p w:rsidR="00AE7F10" w:rsidRDefault="00043DAA">
      <w:pPr>
        <w:pStyle w:val="Ttulo2"/>
        <w:tabs>
          <w:tab w:val="start" w:pos="70.90pt"/>
        </w:tabs>
        <w:spacing w:before="0pt" w:after="0pt" w:line="13.80pt" w:lineRule="auto"/>
        <w:jc w:val="both"/>
      </w:pPr>
      <w:r>
        <w:rPr>
          <w:rFonts w:ascii="Times New Roman" w:eastAsia="Cambria" w:hAnsi="Times New Roman"/>
          <w:b w:val="0"/>
          <w:bCs w:val="0"/>
          <w:i w:val="0"/>
          <w:iCs w:val="0"/>
          <w:sz w:val="22"/>
          <w:szCs w:val="22"/>
          <w:lang w:eastAsia="pt-BR"/>
        </w:rPr>
        <w:t xml:space="preserve">Considerando que a Nota Jurídica nº 6/AJ-CAM/2016, de 15 de dezembro de 2016, da Assessoria Jurídica do CAU/BR, é conclusiva no sentido de que a distribuição, pelo CAU/BR e pelos CAU/UF, de honorários de </w:t>
      </w:r>
      <w:r>
        <w:rPr>
          <w:rFonts w:ascii="Times New Roman" w:eastAsia="Cambria" w:hAnsi="Times New Roman"/>
          <w:b w:val="0"/>
          <w:bCs w:val="0"/>
          <w:i w:val="0"/>
          <w:iCs w:val="0"/>
          <w:sz w:val="22"/>
          <w:szCs w:val="22"/>
          <w:lang w:eastAsia="pt-BR"/>
        </w:rPr>
        <w:t>sucumbência, é dependente de lei regulamentadora específica, à vista do disposto no art. 85, § 19 do CPC;</w:t>
      </w:r>
    </w:p>
    <w:p w:rsidR="00AE7F10" w:rsidRDefault="00AE7F1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E7F10" w:rsidRDefault="00043DA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em processos judiciais ocorrem a determinação pelo juiz, inclusive, de honorários advocatícios sucumbenciais;</w:t>
      </w:r>
    </w:p>
    <w:p w:rsidR="00AE7F10" w:rsidRDefault="00AE7F1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E7F10" w:rsidRDefault="00043DA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todo</w:t>
      </w:r>
      <w:r>
        <w:rPr>
          <w:rFonts w:ascii="Times New Roman" w:hAnsi="Times New Roman"/>
          <w:sz w:val="22"/>
          <w:szCs w:val="22"/>
          <w:lang w:eastAsia="pt-BR"/>
        </w:rPr>
        <w:t>s os atos administrativos no âmbito dos entes públicos necessitam atender ao princípio da legalidade, dentre outros, previstos no art. 37, caput, da Constituição Federal; e</w:t>
      </w:r>
    </w:p>
    <w:p w:rsidR="00AE7F10" w:rsidRDefault="00AE7F1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E7F10" w:rsidRDefault="00043DA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</w:t>
      </w:r>
      <w:r>
        <w:rPr>
          <w:rFonts w:ascii="Times New Roman" w:hAnsi="Times New Roman"/>
          <w:sz w:val="22"/>
          <w:szCs w:val="22"/>
          <w:lang w:eastAsia="pt-BR"/>
        </w:rPr>
        <w:t>ência do CAU/BR, para verificação e encaminhamentos, conforme Regimento Interno do CAU/BR.</w:t>
      </w:r>
    </w:p>
    <w:p w:rsidR="00AE7F10" w:rsidRDefault="00AE7F10">
      <w:pPr>
        <w:jc w:val="both"/>
      </w:pPr>
    </w:p>
    <w:p w:rsidR="00AE7F10" w:rsidRDefault="00043DA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AE7F10" w:rsidRDefault="00AE7F10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E7F10" w:rsidRDefault="00043DAA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à Presidência solicitação no sentido de buscar, junto a outros órgãos e entidades competentes, o esclarecimento da questão relativa à destinaç</w:t>
      </w:r>
      <w:r>
        <w:rPr>
          <w:rFonts w:ascii="Times New Roman" w:hAnsi="Times New Roman"/>
          <w:sz w:val="22"/>
          <w:szCs w:val="22"/>
        </w:rPr>
        <w:t>ão de honorários cobrados administrativamente de seus devedores e dos honorários de sucumbência fixados em sentença dos vencidos nas ações, com vistas à regulação da matéria de modo a que promova a segurança jurídica para o CAU/BR e os CAU/UF.</w:t>
      </w:r>
    </w:p>
    <w:p w:rsidR="00AE7F10" w:rsidRDefault="00AE7F10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E7F10" w:rsidRDefault="00AE7F10">
      <w:pPr>
        <w:pStyle w:val="PargrafodaLista"/>
        <w:rPr>
          <w:rFonts w:ascii="Times New Roman" w:eastAsia="Times New Roman" w:hAnsi="Times New Roman"/>
          <w:sz w:val="22"/>
          <w:szCs w:val="22"/>
        </w:rPr>
      </w:pPr>
    </w:p>
    <w:p w:rsidR="00AE7F10" w:rsidRDefault="00043DAA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05 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de outubro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2018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.</w:t>
      </w:r>
    </w:p>
    <w:p w:rsidR="00AE7F10" w:rsidRDefault="00AE7F10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AE7F10" w:rsidRDefault="00043DAA">
      <w:pPr>
        <w:tabs>
          <w:tab w:val="center" w:pos="212.60pt"/>
          <w:tab w:val="end" w:pos="425.20pt"/>
        </w:tabs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DE </w:t>
      </w:r>
      <w:proofErr w:type="gramStart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Macedo  (</w:t>
      </w:r>
      <w:proofErr w:type="gramEnd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rN)             ___________________________________</w:t>
      </w:r>
    </w:p>
    <w:p w:rsidR="00AE7F10" w:rsidRDefault="00043DAA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</w:p>
    <w:p w:rsidR="00AE7F10" w:rsidRDefault="00AE7F10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AE7F10" w:rsidRDefault="00043DAA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ANTÔNIO ASSIS DE GODOY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MG)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___________________________________</w:t>
      </w:r>
    </w:p>
    <w:p w:rsidR="00AE7F10" w:rsidRDefault="00043DAA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AE7F10" w:rsidRDefault="00AE7F10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E7F10" w:rsidRDefault="00043DAA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FLORES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RS)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___________________________________</w:t>
      </w:r>
    </w:p>
    <w:p w:rsidR="00AE7F10" w:rsidRDefault="00043DAA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E7F10" w:rsidRDefault="00AE7F10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E7F10" w:rsidRDefault="00043DAA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EMERSON DO NASCIMENTO FRAGA (MA)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AE7F10" w:rsidRDefault="00043DAA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E7F10" w:rsidRDefault="00043DAA">
      <w:pPr>
        <w:autoSpaceDE w:val="0"/>
      </w:pPr>
      <w:r>
        <w:t xml:space="preserve"> </w:t>
      </w:r>
    </w:p>
    <w:p w:rsidR="00AE7F10" w:rsidRDefault="00043DAA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PR)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AE7F10" w:rsidRDefault="00043DAA">
      <w:pPr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AE7F10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043DAA">
      <w:r>
        <w:separator/>
      </w:r>
    </w:p>
  </w:endnote>
  <w:endnote w:type="continuationSeparator" w:id="0">
    <w:p w:rsidR="00000000" w:rsidRDefault="0004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A21DC" w:rsidRDefault="00043DA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FA21DC" w:rsidRDefault="00043DAA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1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043DAA">
      <w:r>
        <w:rPr>
          <w:color w:val="000000"/>
        </w:rPr>
        <w:separator/>
      </w:r>
    </w:p>
  </w:footnote>
  <w:footnote w:type="continuationSeparator" w:id="0">
    <w:p w:rsidR="00000000" w:rsidRDefault="00043DA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A21DC" w:rsidRDefault="00043DAA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2" descr="CAU-BR-timbrado2015-edit-17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958336E"/>
    <w:multiLevelType w:val="multilevel"/>
    <w:tmpl w:val="8F5E7622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E7F10"/>
    <w:rsid w:val="00043DAA"/>
    <w:rsid w:val="00A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A46D040-68B5-4953-B229-59DCEA4A38D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8pt" w:line="12.80pt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pt" w:line="12pt" w:lineRule="auto"/>
    </w:pPr>
    <w:rPr>
      <w:rFonts w:ascii="Cambria" w:eastAsia="Cambria" w:hAnsi="Cambria"/>
      <w:sz w:val="24"/>
      <w:szCs w:val="24"/>
    </w:rPr>
  </w:style>
  <w:style w:type="paragraph" w:styleId="Ttulo2">
    <w:name w:val="heading 2"/>
    <w:basedOn w:val="Normal"/>
    <w:next w:val="Normal"/>
    <w:pPr>
      <w:keepNext/>
      <w:spacing w:before="12pt" w:after="3pt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</w:style>
  <w:style w:type="paragraph" w:styleId="PargrafodaLista">
    <w:name w:val="List Paragraph"/>
    <w:basedOn w:val="Normal"/>
    <w:pPr>
      <w:ind w:start="35.40pt"/>
    </w:pPr>
  </w:style>
  <w:style w:type="paragraph" w:styleId="NormalWeb">
    <w:name w:val="Normal (Web)"/>
    <w:basedOn w:val="Normal"/>
    <w:pPr>
      <w:spacing w:after="10pt"/>
    </w:pPr>
    <w:rPr>
      <w:rFonts w:ascii="Times New Roman" w:eastAsia="Times New Roman" w:hAnsi="Times New Roman"/>
      <w:lang w:eastAsia="pt-BR"/>
    </w:rPr>
  </w:style>
  <w:style w:type="paragraph" w:customStyle="1" w:styleId="tcu">
    <w:name w:val="tcu"/>
    <w:basedOn w:val="Normal"/>
    <w:pPr>
      <w:spacing w:before="5pt" w:after="5pt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customStyle="1" w:styleId="Ttulo2Char">
    <w:name w:val="Título 2 Char"/>
    <w:basedOn w:val="Fontepargpadro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rte">
    <w:name w:val="Strong"/>
    <w:rPr>
      <w:b/>
    </w:rPr>
  </w:style>
  <w:style w:type="paragraph" w:styleId="Reviso">
    <w:name w:val="Revision"/>
    <w:pPr>
      <w:suppressAutoHyphens/>
      <w:spacing w:after="0pt" w:line="12pt" w:lineRule="auto"/>
    </w:pPr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781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Martins Silva</dc:creator>
  <cp:lastModifiedBy>Pedro Martins Silva</cp:lastModifiedBy>
  <cp:revision>2</cp:revision>
  <dcterms:created xsi:type="dcterms:W3CDTF">2019-08-06T15:06:00Z</dcterms:created>
  <dcterms:modified xsi:type="dcterms:W3CDTF">2019-08-06T15:06:00Z</dcterms:modified>
</cp:coreProperties>
</file>