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B6A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711977/2018</w:t>
            </w:r>
          </w:p>
        </w:tc>
      </w:tr>
      <w:tr w:rsidR="00FB6AEB">
        <w:tblPrEx>
          <w:tblCellMar>
            <w:top w:w="0pt" w:type="dxa"/>
            <w:bottom w:w="0pt" w:type="dxa"/>
          </w:tblCellMar>
        </w:tblPrEx>
        <w:trPr>
          <w:cantSplit/>
          <w:trHeight w:val="427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B6A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AEB" w:rsidRDefault="008934C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EVOLUÇÃO NOS SISTEMAS DE TI NO CAU</w:t>
            </w:r>
          </w:p>
        </w:tc>
      </w:tr>
    </w:tbl>
    <w:p w:rsidR="00FB6AEB" w:rsidRDefault="008934C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58/2018 – (COA-CAU/BR)</w:t>
      </w:r>
    </w:p>
    <w:p w:rsidR="00FB6AEB" w:rsidRDefault="00FB6A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 dia 30 de agosto de 2018, no uso das competências que lhe conferem o inciso I do art. 102 do Regimento Interno do CAU/BR, após análise do assunto em epígrafe, e</w:t>
      </w:r>
    </w:p>
    <w:p w:rsidR="00FB6AEB" w:rsidRDefault="00FB6AEB">
      <w:pPr>
        <w:tabs>
          <w:tab w:val="start" w:pos="134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tabs>
          <w:tab w:val="start" w:pos="134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competências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regimentais da Comissão de Organização e Administração do CAU/BR, referentes à gestão da estratégia organizacional, atendimento, funcionamento, patrimônio e administração das autarquias do CAU, estão também vinculadas à aplicação do Plano Diretor de Tecnol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ogia da Informação;</w:t>
      </w:r>
    </w:p>
    <w:p w:rsidR="00FB6AEB" w:rsidRDefault="008934CD">
      <w:pPr>
        <w:tabs>
          <w:tab w:val="start" w:pos="134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n° 126 estabelece, em seu art. 4°, que “a evolução dos serviços compartilhados de tecnologia da informação (TI) do Centro de Serviços Compartilhados dos Conselhos de Arquitetura e Urbanismo (CSC-CAU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atenderá ao que dispuser o Plano Diretor de Tecnologia da Informação (PDTI) do CAU, tendo como princípio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unicidade e o atendimento às demandas locais e será submetido ao Colegiado de Governança do Centro de Serviços Compartilhados (CG-CSC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).”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ando a deliberação DPOBR n° 0079-13/2018, que constituiu o Fórum Permanente de Consulta em Tecnologia da Informação, prevendo a participação de todos os CAU/UF no desenvolvimento tecnológico do CAU;</w:t>
      </w:r>
    </w:p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n°104, que dispõe sobre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procedimentos para aprovação dos atos administrativos do tipo resolução, deliberação e proposta, de competência do CAU, em seu artigo 6°, inciso III, estabelece que para ser admitida, a proposição de resolução deve conter a indicação de disponibilidade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orçamentária;</w:t>
      </w:r>
    </w:p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além dos custos para implantação de alterações e evoluções nos sistemas tecnológicos do CAU, devam ser analisados também os impactos, bem como os prazos para essas implantações;</w:t>
      </w:r>
    </w:p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001/2018 – CG-CSC,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comendando os trâmites para a implantação de novas deliberações e resoluções no SICCAU, apenas nas normativas que acarretem alterações no sistema;</w:t>
      </w:r>
    </w:p>
    <w:p w:rsidR="00FB6AEB" w:rsidRDefault="00FB6A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Conselho Diretor do CAU/BR apreciar de deliberar sobre rotinas administrativas,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propostas pela Presidência; e</w:t>
      </w:r>
    </w:p>
    <w:p w:rsidR="00FB6AEB" w:rsidRDefault="00FB6AEB">
      <w:pPr>
        <w:tabs>
          <w:tab w:val="start" w:pos="134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B6AEB" w:rsidRDefault="00FB6AE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B6AEB" w:rsidRDefault="008934C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B6AEB" w:rsidRDefault="00FB6A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AEB" w:rsidRDefault="008934CD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Presidência que proponha ao </w:t>
      </w:r>
      <w:r>
        <w:rPr>
          <w:rFonts w:ascii="Times New Roman" w:hAnsi="Times New Roman"/>
          <w:sz w:val="22"/>
          <w:szCs w:val="22"/>
          <w:lang w:eastAsia="pt-BR"/>
        </w:rPr>
        <w:t xml:space="preserve">Conselho Diretor do CAU/BR a rotina para definição de prazos e custo de implantação de alterações nos sistemas do CAU, referentes à entrada em vigor de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resoluções </w:t>
      </w:r>
      <w:r>
        <w:rPr>
          <w:rFonts w:ascii="Times New Roman" w:hAnsi="Times New Roman"/>
          <w:sz w:val="22"/>
          <w:szCs w:val="22"/>
          <w:lang w:eastAsia="pt-BR"/>
        </w:rPr>
        <w:t>aprovadas no Plenário do CAU/BR, na forma a seguir:</w:t>
      </w:r>
    </w:p>
    <w:p w:rsidR="00FB6AEB" w:rsidRDefault="008934C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 comissão competente encaminhará à Presi</w:t>
      </w:r>
      <w:r>
        <w:rPr>
          <w:rFonts w:ascii="Times New Roman" w:eastAsia="Times New Roman" w:hAnsi="Times New Roman"/>
          <w:sz w:val="22"/>
          <w:szCs w:val="22"/>
        </w:rPr>
        <w:t>dência o anteprojeto de resolução, que, no prazo de 10(dez) dias, o encaminhará para a manifestação das instâncias competentes descritas na Resolução CAU/BR n° 104, concorrentemente com o seu envio à Gerência do CSC;</w:t>
      </w:r>
    </w:p>
    <w:p w:rsidR="00FB6AEB" w:rsidRDefault="008934CD">
      <w:pPr>
        <w:pStyle w:val="PargrafodaLista"/>
        <w:numPr>
          <w:ilvl w:val="0"/>
          <w:numId w:val="3"/>
        </w:numPr>
        <w:jc w:val="both"/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Caberá à Gerência do CSC, junto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Fóru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Permanente de Consulta em Tecnologia da Informação, quando da elaboração do escopo, manifestar-se sobre à evolução dos sistemas, sugerindo modificações no texto do anteprojeto, conforme o caso.</w:t>
      </w:r>
    </w:p>
    <w:p w:rsidR="00FB6AEB" w:rsidRDefault="008934C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 Gerência do CSC elaborará o escopo com os impactos nos sis</w:t>
      </w:r>
      <w:r>
        <w:rPr>
          <w:rFonts w:ascii="Times New Roman" w:eastAsia="Times New Roman" w:hAnsi="Times New Roman"/>
          <w:sz w:val="22"/>
          <w:szCs w:val="22"/>
        </w:rPr>
        <w:t>temas, estabelecendo o prazo e o custo de implantação da normativa no sistema, no prazo de até 30 (trinta) dias, devolvendo-o à Presidência.</w:t>
      </w:r>
    </w:p>
    <w:p w:rsidR="00FB6AEB" w:rsidRDefault="008934C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Após a homologação do escopo, a Presidência o encaminhará à comissão competente, informando o prazo necessário para</w:t>
      </w:r>
      <w:r>
        <w:rPr>
          <w:rFonts w:ascii="Times New Roman" w:eastAsia="Times New Roman" w:hAnsi="Times New Roman"/>
          <w:sz w:val="22"/>
          <w:szCs w:val="22"/>
        </w:rPr>
        <w:t xml:space="preserve"> a implantação da nova normativa no sistema;</w:t>
      </w:r>
    </w:p>
    <w:p w:rsidR="00FB6AEB" w:rsidRDefault="00FB6AEB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</w:rPr>
      </w:pPr>
    </w:p>
    <w:p w:rsidR="00FB6AEB" w:rsidRDefault="008934CD">
      <w:pPr>
        <w:pStyle w:val="PargrafodaLista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casos de necessidade de alterações nos sistemas do CAU, advindas de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deliberações plenárias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as comissões competentes encaminharão a minuta de deliberação plenária para a Presidência que, no prazo de 10 (dez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 dias, a encaminhará à Gerência do CSC, sendo adotados os mesmos procedimentos utilizados na análise do anteprojeto de resolução, tratados no item 1.</w:t>
      </w:r>
    </w:p>
    <w:p w:rsidR="00FB6AEB" w:rsidRDefault="00FB6AEB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</w:rPr>
      </w:pPr>
    </w:p>
    <w:p w:rsidR="00FB6AEB" w:rsidRDefault="008934CD">
      <w:pPr>
        <w:pStyle w:val="PargrafodaLista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casos excepcionais, que demandarem uma análise mais aprofundada para a elaboração do escopo, terão 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us prazos dilatados conforme orientação da Presidência, sendo estes informados à comissão competente, no prazo estabelecido na letra “c” do item 1.</w:t>
      </w:r>
    </w:p>
    <w:p w:rsidR="00FB6AEB" w:rsidRDefault="00FB6AEB">
      <w:pPr>
        <w:ind w:start="36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</w:rPr>
      </w:pPr>
    </w:p>
    <w:p w:rsidR="00FB6AEB" w:rsidRDefault="008934CD">
      <w:pPr>
        <w:tabs>
          <w:tab w:val="start" w:pos="165.9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FB6AEB" w:rsidRDefault="00FB6AEB">
      <w:pPr>
        <w:tabs>
          <w:tab w:val="start" w:pos="165.90pt"/>
        </w:tabs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FFFF00"/>
          <w:lang w:eastAsia="pt-BR"/>
        </w:rPr>
      </w:pPr>
    </w:p>
    <w:p w:rsidR="00FB6AEB" w:rsidRDefault="008934CD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FB6AEB" w:rsidRDefault="008934C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FB6AEB" w:rsidRDefault="00FB6AEB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FB6AEB" w:rsidRDefault="008934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FB6AEB" w:rsidRDefault="008934C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FB6AEB" w:rsidRDefault="00FB6AEB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B6AEB" w:rsidRDefault="008934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FB6AEB" w:rsidRDefault="008934C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B6AEB" w:rsidRDefault="00FB6AEB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B6AEB" w:rsidRDefault="008934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B6AEB" w:rsidRDefault="008934C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B6AEB" w:rsidRDefault="008934CD">
      <w:pPr>
        <w:autoSpaceDE w:val="0"/>
      </w:pPr>
      <w:r>
        <w:t xml:space="preserve"> </w:t>
      </w:r>
    </w:p>
    <w:p w:rsidR="00FB6AEB" w:rsidRDefault="008934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B6AEB" w:rsidRDefault="008934CD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B6AEB" w:rsidRDefault="00FB6AEB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sectPr w:rsidR="00FB6AE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934CD">
      <w:r>
        <w:separator/>
      </w:r>
    </w:p>
  </w:endnote>
  <w:endnote w:type="continuationSeparator" w:id="0">
    <w:p w:rsidR="00000000" w:rsidRDefault="008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1965" w:rsidRDefault="008934C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E1965" w:rsidRDefault="008934C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934CD">
      <w:r>
        <w:rPr>
          <w:color w:val="000000"/>
        </w:rPr>
        <w:separator/>
      </w:r>
    </w:p>
  </w:footnote>
  <w:footnote w:type="continuationSeparator" w:id="0">
    <w:p w:rsidR="00000000" w:rsidRDefault="008934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1965" w:rsidRDefault="008934C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B807A4"/>
    <w:multiLevelType w:val="multilevel"/>
    <w:tmpl w:val="BF2C967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522D4CF4"/>
    <w:multiLevelType w:val="multilevel"/>
    <w:tmpl w:val="F9CCC01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6AEB"/>
    <w:rsid w:val="008934CD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F42A5E-B34C-4BAB-986E-CC728338C0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character" w:styleId="Forte">
    <w:name w:val="Strong"/>
    <w:basedOn w:val="Fontepargpadro"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2019-08-06T17:04:00Z</dcterms:created>
  <dcterms:modified xsi:type="dcterms:W3CDTF">2019-08-06T17:04:00Z</dcterms:modified>
</cp:coreProperties>
</file>