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B271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711" w:rsidRDefault="00AE227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711" w:rsidRDefault="00AE227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B271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711" w:rsidRDefault="00AE227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711" w:rsidRDefault="00AE227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B271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711" w:rsidRDefault="00AE227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711" w:rsidRDefault="00AE227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Acordo OA/PT</w:t>
            </w:r>
          </w:p>
        </w:tc>
      </w:tr>
    </w:tbl>
    <w:p w:rsidR="008B2711" w:rsidRDefault="00AE227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052/2018 – CRI – CAU/BR</w:t>
      </w: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AE227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CRI-CAU/BR, reunida ordinariamente em 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 dia 3 de outubro de 2018, no uso das competências que lhe conferem os arts. 106 e 107 do Regimento Interno do CAU/BR, após análise do assunto em epígrafe, e</w:t>
      </w: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AE22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Acordo de Cooperação para a harmonização das condições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inscrição de arquitetos portugueses e brasileiros e de arquitetos e urbanistas brasileiros e portugueses junto ao Conselho de Arquitetura e Urbanismo do Brasil e da Ordem dos Arquitectos de Portugal (OA), firmado em 6 de dezembro de 2013 e respectivo 1º 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rmo aditivo, firmado em 14 de julho de 2016;</w:t>
      </w: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AE22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fim da vigência do acordo em janeiro de 2019 e as reuniões com a OA no dia 25 de maio, em Lisboa; e em 20 de julho por videoconferência, para acordar as condições de sua renovação;</w:t>
      </w: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AE22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deliberações CRI-CAU/BR nº 003/2018 e 026/2018, 044/2018 e 47/2018 que contêm os encaminhamentos mais recentes dados às matérias;</w:t>
      </w: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AE22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Estatuto da Ordem dos Advogados (OA) de Portugal e o Termo de Reciprocidade entre o Conselho Federal de Eng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enharia e Agronomia (CONFEA) do Brasil e a Ordem dos Engenheiros (OE) de Portugal, que preveem o reconhecimento recíproco de títulos profissionais no Brasil e em Portugal e dispensam a revalidação da formação habilitante;</w:t>
      </w: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AE22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reclamações receb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idas, no e-mail da CRI e por diversos outros meios, de arquitetos e urbanistas brasileiros que têm encontrado dificuldades para o registro em Portugal;</w:t>
      </w: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AE227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AE2270">
      <w:pPr>
        <w:numPr>
          <w:ilvl w:val="0"/>
          <w:numId w:val="1"/>
        </w:numPr>
        <w:tabs>
          <w:tab w:val="start" w:pos="22.95pt"/>
        </w:tabs>
        <w:spacing w:before="12pt"/>
        <w:ind w:start="1.70pt" w:firstLine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Realizar estudo comparativo entre carga horária e integralização nas áreas de Arquitetura e</w:t>
      </w:r>
      <w:r>
        <w:rPr>
          <w:rFonts w:ascii="Times New Roman" w:hAnsi="Times New Roman"/>
          <w:sz w:val="22"/>
          <w:szCs w:val="22"/>
        </w:rPr>
        <w:t xml:space="preserve"> Urbanismo, Engenharia e Advocacia, no Brasil e Portugal. Realizar estudo comparativo entre os currículos de formação em Arquitetura e Urbanismo no Brasil e em Portugal, verificando eventuais discrepâncias programáticas. </w:t>
      </w:r>
    </w:p>
    <w:p w:rsidR="008B2711" w:rsidRDefault="00AE2270">
      <w:pPr>
        <w:numPr>
          <w:ilvl w:val="0"/>
          <w:numId w:val="1"/>
        </w:numPr>
        <w:tabs>
          <w:tab w:val="start" w:pos="22.95pt"/>
        </w:tabs>
        <w:spacing w:before="12pt"/>
        <w:ind w:start="1.70pt" w:firstLine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Elaborar minuta de Acordo de </w:t>
      </w:r>
      <w:r>
        <w:rPr>
          <w:rFonts w:ascii="Times New Roman" w:hAnsi="Times New Roman"/>
          <w:sz w:val="22"/>
          <w:szCs w:val="22"/>
        </w:rPr>
        <w:t>Cooperação a ser apresentada à OA, com as seguintes premissas:</w:t>
      </w:r>
    </w:p>
    <w:p w:rsidR="008B2711" w:rsidRDefault="00AE2270">
      <w:pPr>
        <w:numPr>
          <w:ilvl w:val="1"/>
          <w:numId w:val="1"/>
        </w:numPr>
        <w:tabs>
          <w:tab w:val="start" w:pos="22.95pt"/>
          <w:tab w:val="start" w:pos="44.20pt"/>
        </w:tabs>
        <w:spacing w:before="12pt"/>
        <w:ind w:start="30.05pt" w:firstLine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Reconhecimento recíproco de qualificações profissionais, dispensando-se a revalidação de títulos;</w:t>
      </w:r>
    </w:p>
    <w:p w:rsidR="008B2711" w:rsidRDefault="00AE2270">
      <w:pPr>
        <w:numPr>
          <w:ilvl w:val="1"/>
          <w:numId w:val="1"/>
        </w:numPr>
        <w:tabs>
          <w:tab w:val="start" w:pos="22.95pt"/>
          <w:tab w:val="start" w:pos="44.20pt"/>
        </w:tabs>
        <w:ind w:start="30.05pt" w:firstLine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Inclusão de um prazo para vigência em caráter experimental, com número máximo de profissionais </w:t>
      </w:r>
      <w:r>
        <w:rPr>
          <w:rFonts w:ascii="Times New Roman" w:hAnsi="Times New Roman"/>
          <w:sz w:val="22"/>
          <w:szCs w:val="22"/>
        </w:rPr>
        <w:t>abarcados;</w:t>
      </w:r>
    </w:p>
    <w:p w:rsidR="008B2711" w:rsidRDefault="00AE2270">
      <w:pPr>
        <w:numPr>
          <w:ilvl w:val="1"/>
          <w:numId w:val="1"/>
        </w:numPr>
        <w:tabs>
          <w:tab w:val="start" w:pos="22.95pt"/>
          <w:tab w:val="start" w:pos="44.20pt"/>
        </w:tabs>
        <w:ind w:start="30.05pt" w:firstLine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Incluir dispositivo que determine a obrigatoriedade de se manter o registro ativo em ambos os países para os profissionais amparados pelo instrumento;</w:t>
      </w:r>
    </w:p>
    <w:p w:rsidR="008B2711" w:rsidRDefault="00AE2270">
      <w:pPr>
        <w:numPr>
          <w:ilvl w:val="0"/>
          <w:numId w:val="1"/>
        </w:numPr>
        <w:tabs>
          <w:tab w:val="start" w:pos="22.95pt"/>
        </w:tabs>
        <w:spacing w:before="12pt"/>
        <w:ind w:start="1.70pt" w:firstLine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Submeter ao Plenário as premissas do item anterior para deliberação e autorização para firmar </w:t>
      </w:r>
      <w:r>
        <w:rPr>
          <w:rFonts w:ascii="Times New Roman" w:hAnsi="Times New Roman"/>
          <w:sz w:val="22"/>
          <w:szCs w:val="22"/>
        </w:rPr>
        <w:t>acordo com a OA nos respectivos termos;</w:t>
      </w:r>
    </w:p>
    <w:p w:rsidR="008B2711" w:rsidRDefault="00AE2270">
      <w:pPr>
        <w:numPr>
          <w:ilvl w:val="0"/>
          <w:numId w:val="1"/>
        </w:numPr>
        <w:tabs>
          <w:tab w:val="start" w:pos="22.95pt"/>
        </w:tabs>
        <w:spacing w:before="12pt"/>
        <w:ind w:start="1.70pt" w:firstLine="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Adiar a reunião com a OA para o dia 19/10.</w:t>
      </w: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AE2270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 de outubro de 2018.</w:t>
      </w:r>
    </w:p>
    <w:p w:rsidR="008B2711" w:rsidRDefault="008B27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711" w:rsidRDefault="008B271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8B271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711" w:rsidRDefault="00AE227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8B2711" w:rsidRDefault="00AE2270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8B2711" w:rsidRDefault="008B271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711" w:rsidRDefault="00AE2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B271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711" w:rsidRDefault="00AE227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8B2711" w:rsidRDefault="00AE2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Coordenadora-adjunta</w:t>
            </w:r>
          </w:p>
          <w:p w:rsidR="008B2711" w:rsidRDefault="008B27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711" w:rsidRDefault="00AE2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B271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711" w:rsidRDefault="00AE227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8B2711" w:rsidRDefault="00AE2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B2711" w:rsidRDefault="008B27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711" w:rsidRDefault="00AE2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B271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711" w:rsidRDefault="00AE227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8B2711" w:rsidRDefault="00AE2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B2711" w:rsidRDefault="008B27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711" w:rsidRDefault="00AE2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B271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711" w:rsidRDefault="00AE227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8B2711" w:rsidRDefault="00AE2270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8B2711" w:rsidRDefault="008B271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711" w:rsidRDefault="00AE22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AE2270">
      <w:pPr>
        <w:sectPr w:rsidR="00000000">
          <w:headerReference w:type="default" r:id="rId7"/>
          <w:footerReference w:type="default" r:id="rId8"/>
          <w:pgSz w:w="595pt" w:h="842pt"/>
          <w:pgMar w:top="127.60pt" w:right="56.40pt" w:bottom="77.95pt" w:left="77.95pt" w:header="66.35pt" w:footer="29.20pt" w:gutter="0pt"/>
          <w:cols w:space="36pt"/>
        </w:sectPr>
      </w:pPr>
    </w:p>
    <w:p w:rsidR="008B2711" w:rsidRDefault="008B2711"/>
    <w:sectPr w:rsidR="008B2711">
      <w:type w:val="continuous"/>
      <w:pgSz w:w="595pt" w:h="842pt"/>
      <w:pgMar w:top="127.60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E2270">
      <w:r>
        <w:separator/>
      </w:r>
    </w:p>
  </w:endnote>
  <w:endnote w:type="continuationSeparator" w:id="0">
    <w:p w:rsidR="00000000" w:rsidRDefault="00A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5AB3" w:rsidRDefault="00AE227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15AB3" w:rsidRDefault="00AE227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E2270">
      <w:r>
        <w:rPr>
          <w:color w:val="000000"/>
        </w:rPr>
        <w:separator/>
      </w:r>
    </w:p>
  </w:footnote>
  <w:footnote w:type="continuationSeparator" w:id="0">
    <w:p w:rsidR="00000000" w:rsidRDefault="00AE227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5AB3" w:rsidRDefault="00AE227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7653F38"/>
    <w:multiLevelType w:val="multilevel"/>
    <w:tmpl w:val="283AAFE0"/>
    <w:lvl w:ilvl="0">
      <w:start w:val="1"/>
      <w:numFmt w:val="decimal"/>
      <w:lvlText w:val="%1 - 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2711"/>
    <w:rsid w:val="008B2711"/>
    <w:rsid w:val="00A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A436BC-6030-4AE9-B071-F3B441A2C5E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2018-10-05T15:44:00Z</cp:lastPrinted>
  <dcterms:created xsi:type="dcterms:W3CDTF">2019-08-07T17:29:00Z</dcterms:created>
  <dcterms:modified xsi:type="dcterms:W3CDTF">2019-08-07T17:29:00Z</dcterms:modified>
</cp:coreProperties>
</file>