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B84F1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4F1A" w:rsidRDefault="002D45D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4F1A" w:rsidRDefault="002D45D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4F1A" w:rsidRDefault="002D45D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4F1A" w:rsidRDefault="002D45D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4F1A" w:rsidRDefault="002D45D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4F1A" w:rsidRDefault="002D45D6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Designação de relatores para o plano de trabalho da CRI</w:t>
            </w:r>
          </w:p>
        </w:tc>
      </w:tr>
    </w:tbl>
    <w:p w:rsidR="00B84F1A" w:rsidRDefault="002D45D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041/2018 – CRI – CAU/BR</w:t>
      </w:r>
    </w:p>
    <w:p w:rsidR="00B84F1A" w:rsidRDefault="002D45D6">
      <w:pPr>
        <w:spacing w:before="6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CRI-CAU/BR, reunida ordinariamente em Brasília-DF, na sede do CAU/BR, no dia 4 de julho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B84F1A" w:rsidRDefault="002D45D6">
      <w:pPr>
        <w:spacing w:after="12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Orçamento da CRI-CAU/BR, aprovado pela Deliberação CRI-CAU/BR nº 033/2017;</w:t>
      </w:r>
    </w:p>
    <w:p w:rsidR="00B84F1A" w:rsidRDefault="002D45D6">
      <w:pPr>
        <w:spacing w:after="12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CRI-CAU/BR, aprovado pela DPOBR Nº 0077-23.C/2018, de 27 de abril de 2018; e</w:t>
      </w:r>
    </w:p>
    <w:p w:rsidR="00B84F1A" w:rsidRDefault="002D45D6">
      <w:pPr>
        <w:spacing w:after="12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§2º do art. 121, que determina que o membro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integrante de comissão ordinária ou especial deve relatar matéria a ele distribuída de forma clara, concisa, objetiva e legalmente fundamentada, emitindo informação consubstanciada por meio de relatório e voto fundamentado;</w:t>
      </w:r>
    </w:p>
    <w:p w:rsidR="00B84F1A" w:rsidRDefault="002D45D6">
      <w:pPr>
        <w:spacing w:before="6pt"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B84F1A" w:rsidRDefault="002D45D6">
      <w:pPr>
        <w:spacing w:before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1 - Designar para cada</w:t>
      </w:r>
      <w:r>
        <w:rPr>
          <w:rFonts w:ascii="Times New Roman" w:hAnsi="Times New Roman"/>
          <w:sz w:val="22"/>
          <w:szCs w:val="22"/>
        </w:rPr>
        <w:t xml:space="preserve"> item do Plano de Trabalho da CRI os relatores descritos na tabela anexa.</w:t>
      </w:r>
    </w:p>
    <w:p w:rsidR="00B84F1A" w:rsidRDefault="00B84F1A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4F1A" w:rsidRDefault="002D45D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4 de julho de 2018.</w:t>
      </w:r>
    </w:p>
    <w:p w:rsidR="00B84F1A" w:rsidRDefault="00B84F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B84F1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B84F1A" w:rsidRDefault="002D4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B84F1A" w:rsidRDefault="00B84F1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B84F1A" w:rsidRDefault="002D45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B84F1A" w:rsidRDefault="00B84F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B84F1A" w:rsidRDefault="002D45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84F1A" w:rsidRDefault="00B84F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B84F1A" w:rsidRDefault="002D45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84F1A" w:rsidRDefault="00B84F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Milton Carlos Z. Gonçalves</w:t>
            </w:r>
          </w:p>
          <w:p w:rsidR="00B84F1A" w:rsidRDefault="002D45D6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4F1A" w:rsidRDefault="002D45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</w:t>
            </w:r>
          </w:p>
        </w:tc>
      </w:tr>
    </w:tbl>
    <w:p w:rsidR="00000000" w:rsidRDefault="002D45D6">
      <w:pPr>
        <w:rPr>
          <w:vanish/>
        </w:rPr>
        <w:sectPr w:rsidR="00000000">
          <w:headerReference w:type="default" r:id="rId6"/>
          <w:footerReference w:type="default" r:id="rId7"/>
          <w:pgSz w:w="595pt" w:h="842pt"/>
          <w:pgMar w:top="99.25pt" w:right="56.35pt" w:bottom="77.95pt" w:left="77.95pt" w:header="66.35pt" w:footer="29.20pt" w:gutter="0pt"/>
          <w:cols w:space="36pt"/>
        </w:sectPr>
      </w:pPr>
    </w:p>
    <w:tbl>
      <w:tblPr>
        <w:tblW w:w="116.02%" w:type="pct"/>
        <w:tblInd w:w="-63.5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23"/>
        <w:gridCol w:w="2234"/>
        <w:gridCol w:w="9736"/>
        <w:gridCol w:w="2398"/>
      </w:tblGrid>
      <w:tr w:rsidR="00B84F1A">
        <w:tblPrEx>
          <w:tblCellMar>
            <w:top w:w="0pt" w:type="dxa"/>
            <w:bottom w:w="0pt" w:type="dxa"/>
          </w:tblCellMar>
        </w:tblPrEx>
        <w:trPr>
          <w:trHeight w:val="390"/>
          <w:tblHeader/>
        </w:trPr>
        <w:tc>
          <w:tcPr>
            <w:tcW w:w="652.60pt" w:type="dxa"/>
            <w:gridSpan w:val="3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Objeto/Assunto</w:t>
            </w:r>
          </w:p>
        </w:tc>
        <w:tc>
          <w:tcPr>
            <w:tcW w:w="120.4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Relator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1. Política internacional (Atividade da CRI)</w:t>
            </w:r>
          </w:p>
        </w:tc>
        <w:tc>
          <w:tcPr>
            <w:tcW w:w="112.2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1.1 Suporte às tratativas governamentais</w:t>
            </w:r>
          </w:p>
        </w:tc>
        <w:tc>
          <w:tcPr>
            <w:tcW w:w="489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MRE (CNB, OMC, OCDE, MERCOSUL, EFTA, </w:t>
            </w:r>
            <w:proofErr w:type="spellStart"/>
            <w:proofErr w:type="gramStart"/>
            <w:r>
              <w:t>etc</w:t>
            </w:r>
            <w:proofErr w:type="spellEnd"/>
            <w:r>
              <w:t>;.</w:t>
            </w:r>
            <w:proofErr w:type="gramEnd"/>
            <w:r>
              <w:t>)</w:t>
            </w:r>
          </w:p>
        </w:tc>
        <w:tc>
          <w:tcPr>
            <w:tcW w:w="120.4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Fernando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MDIC (Fórum de Alavancagem do Comércio Exterior de Serviços, diálogos </w:t>
            </w:r>
            <w:r>
              <w:t>setoriais, etc.)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Fernando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Outros (MI, </w:t>
            </w:r>
            <w:proofErr w:type="spellStart"/>
            <w:r>
              <w:t>ApexBrasil</w:t>
            </w:r>
            <w:proofErr w:type="spellEnd"/>
            <w:r>
              <w:t>, incluso áreas de fronteiras)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Fernando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1.2 Implementação de acordos firmados com interesse estratégico de mobilidade profissional</w:t>
            </w:r>
          </w:p>
        </w:tc>
        <w:tc>
          <w:tcPr>
            <w:tcW w:w="489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Representação na CIAM (MERCOSUL)</w:t>
            </w:r>
          </w:p>
        </w:tc>
        <w:tc>
          <w:tcPr>
            <w:tcW w:w="120.4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Jeferson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Cooperação com a OA </w:t>
            </w:r>
            <w:r>
              <w:t>(Portugal)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Fernando e Hélio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Avanço nas relações com o CNOA (França)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Nádia e Hélio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Avanço nas relações com a ASC (China)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Fernando e Nádia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Avanço nas relações com o ACE (Europa)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Jeferson e Hélio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Auxílio a profissionais nos EUA (formulários NCARB)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Fernando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1.3 Gestão e implementação dos acordos firmados</w:t>
            </w:r>
          </w:p>
        </w:tc>
        <w:tc>
          <w:tcPr>
            <w:tcW w:w="489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AEAULP (Escolas da Língua Portuguesa)</w:t>
            </w:r>
          </w:p>
        </w:tc>
        <w:tc>
          <w:tcPr>
            <w:tcW w:w="120.45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Fernando e Hélio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AIA (Estados Unidos)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CSCAE (Espanha)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CACR (Costa Rica)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CAP (Peru)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FCARM (México)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NAAB (Estados Unidos)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OAC (Cabo </w:t>
            </w:r>
            <w:r>
              <w:t>Verde)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OAA (Angola)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RIBA (Reino Unido)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UN Habitat (Programa da ONU para os Assentamentos Humanos) 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UNOPS (Escritório da ONU de Serviços para Projetos)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1.4 Implementação/consolidação de novas parcerias internacionais</w:t>
            </w:r>
          </w:p>
        </w:tc>
        <w:tc>
          <w:tcPr>
            <w:tcW w:w="489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Países Anglo-Saxões </w:t>
            </w:r>
            <w:r>
              <w:t>(Canadá)</w:t>
            </w:r>
          </w:p>
        </w:tc>
        <w:tc>
          <w:tcPr>
            <w:tcW w:w="120.45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 xml:space="preserve">Fernando 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América Latina (Colômbia*, Argentina*, Uruguai*, Paraguai*, Bolívia, Cuba e Chile)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África (Moçambique, Guiné-Bissau*, África do Sul)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Ásia (Índia, Rússia)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Europa (Alemanha, Itália, Holanda)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Entidades continentais e </w:t>
            </w:r>
            <w:r>
              <w:t>transnacionais (FPAA*, ICOMOS, UNESCO)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2. Internacionalização da Arquitetura e Urbanismo </w:t>
            </w:r>
            <w:r>
              <w:lastRenderedPageBreak/>
              <w:t>(BRASIL NO MUNDO)</w:t>
            </w:r>
          </w:p>
        </w:tc>
        <w:tc>
          <w:tcPr>
            <w:tcW w:w="112.2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lastRenderedPageBreak/>
              <w:t>2.1 Representação no Fórum de Inserção Internacional de Serviços Brasileiros da Arquitetura</w:t>
            </w:r>
          </w:p>
        </w:tc>
        <w:tc>
          <w:tcPr>
            <w:tcW w:w="489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Representação do setor de Arquitetura e Urbanismo em </w:t>
            </w:r>
            <w:r>
              <w:t>feiras e eventos internacionais</w:t>
            </w:r>
          </w:p>
        </w:tc>
        <w:tc>
          <w:tcPr>
            <w:tcW w:w="120.45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Fernando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Mapeamento e estudos de mercados estratégicos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Cadastro de escritórios de AU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Apoio à participação brasileira em concursos, bienais e premiações internacionais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2.2 Capacitação de Escritórios para o </w:t>
            </w:r>
            <w:r>
              <w:t>Mercado Exterior</w:t>
            </w:r>
          </w:p>
        </w:tc>
        <w:tc>
          <w:tcPr>
            <w:tcW w:w="489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Promoção de 4 etapas no módulo básico (Brasília, Natal, Recife e Fortaleza)</w:t>
            </w:r>
          </w:p>
        </w:tc>
        <w:tc>
          <w:tcPr>
            <w:tcW w:w="120.45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Eduardo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Desenvolvimento de conteúdo para curso online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Desenvolvimento de hotsite do programa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Preparação de módulos intermediário e avançado para </w:t>
            </w:r>
            <w:r>
              <w:t>escritórios com maior maturidade exportadora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3. Promoção de boas práticas internacionais no Brasil (MUNDO NO BRASIL)</w:t>
            </w:r>
          </w:p>
        </w:tc>
        <w:tc>
          <w:tcPr>
            <w:tcW w:w="112.2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3.1 Educação e Intercâmbio</w:t>
            </w:r>
          </w:p>
        </w:tc>
        <w:tc>
          <w:tcPr>
            <w:tcW w:w="489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Suporte ao projeto de acreditação de cursos</w:t>
            </w:r>
          </w:p>
        </w:tc>
        <w:tc>
          <w:tcPr>
            <w:tcW w:w="120.45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Hélio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Suporte a projetos de fomento à formação continuada </w:t>
            </w:r>
            <w:r>
              <w:t>(estudo sobre especializações, evolução do portal Ache um Arquiteto)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Suporte a estudos sobre experiência assistida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Suporte a iniciativas de fomento ao reconhecimento internacional da formação universitária e às universidades internacionais de </w:t>
            </w:r>
            <w:r>
              <w:t>integração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B84F1A">
            <w:pPr>
              <w:pStyle w:val="00Nvel1"/>
            </w:pP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 w:val="restart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3.2 Cidade, meio ambiente e sociedade</w:t>
            </w: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Apoio à organização do seminário internacional Gestão Inovadora de Bairros Históricos - Fábrica de Restauro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Nádia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Apoio à organização de edição do workshop </w:t>
            </w:r>
            <w:r>
              <w:rPr>
                <w:i/>
              </w:rPr>
              <w:t>Regional/</w:t>
            </w:r>
            <w:proofErr w:type="spellStart"/>
            <w:r>
              <w:rPr>
                <w:i/>
              </w:rPr>
              <w:t>Urban</w:t>
            </w:r>
            <w:proofErr w:type="spellEnd"/>
            <w:r>
              <w:rPr>
                <w:i/>
              </w:rPr>
              <w:t xml:space="preserve"> ‘Design </w:t>
            </w:r>
            <w:proofErr w:type="spellStart"/>
            <w:r>
              <w:rPr>
                <w:i/>
              </w:rPr>
              <w:t>Assistance</w:t>
            </w:r>
            <w:proofErr w:type="spellEnd"/>
            <w:r>
              <w:rPr>
                <w:i/>
              </w:rPr>
              <w:t xml:space="preserve"> Team</w:t>
            </w:r>
            <w:r>
              <w:t xml:space="preserve"> - </w:t>
            </w:r>
            <w:r>
              <w:t>Equipe de Assistência ao Projeto Urbano/ Regional (R/UDAT) no Brasil (parceria com o AIA)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Eduardo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Inclusão dos arquitetos na definição da política de fronteira junto ao Ministério da Integração Nacional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Jeferson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Oficialização das relações com a FPAA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Jeferson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Acompanhamento da organização do IV Encontro de Cidades Fronteiriças com a temática de integração de bacias hidrográficas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Jeferson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 xml:space="preserve">Acompanhamento e fomento à implementação das principais agendas urbanas internacionais (Nova Agenda Urbana - </w:t>
            </w:r>
            <w:r>
              <w:t>Habitat)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Nádia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Acompanhamento e fomento à implementação das principais agendas ambientais internacionais (Acordo de Paris - COP)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Jeferson e Nádia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112.20pt" w:type="dxa"/>
            <w:vMerge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489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Proposição de uma Política Nacional de Arquitetura e Urbanismo, com base nas experiências internacionais</w:t>
            </w:r>
            <w:r>
              <w:t xml:space="preserve"> (incluído após Deliberação CRI-CAU/BR nº 017/2018)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Jeferson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c>
          <w:tcPr>
            <w:tcW w:w="51.40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4. Apoio à UIA 2020 RIO</w:t>
            </w:r>
          </w:p>
        </w:tc>
        <w:tc>
          <w:tcPr>
            <w:tcW w:w="601.20pt" w:type="dxa"/>
            <w:gridSpan w:val="2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Apoio à divulgação e alinhamento das ações da comissão à agenda preparatória do evento</w:t>
            </w:r>
          </w:p>
        </w:tc>
        <w:tc>
          <w:tcPr>
            <w:tcW w:w="120.45pt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2D45D6">
            <w:pPr>
              <w:pStyle w:val="00Nvel1"/>
            </w:pPr>
            <w:r>
              <w:t>Nádia</w:t>
            </w:r>
          </w:p>
        </w:tc>
      </w:tr>
      <w:tr w:rsidR="00B84F1A">
        <w:tblPrEx>
          <w:tblCellMar>
            <w:top w:w="0pt" w:type="dxa"/>
            <w:bottom w:w="0pt" w:type="dxa"/>
          </w:tblCellMar>
        </w:tblPrEx>
        <w:trPr>
          <w:trHeight w:val="363"/>
        </w:trPr>
        <w:tc>
          <w:tcPr>
            <w:tcW w:w="51.40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B84F1A">
            <w:pPr>
              <w:pStyle w:val="00Nvel1"/>
            </w:pPr>
          </w:p>
        </w:tc>
        <w:tc>
          <w:tcPr>
            <w:tcW w:w="601.20pt" w:type="dxa"/>
            <w:gridSpan w:val="2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B84F1A" w:rsidRDefault="002D45D6">
            <w:pPr>
              <w:pStyle w:val="00Nvel1"/>
            </w:pPr>
            <w:r>
              <w:t>Representação nas reuniões do comitê organizador</w:t>
            </w:r>
          </w:p>
        </w:tc>
        <w:tc>
          <w:tcPr>
            <w:tcW w:w="120.45pt" w:type="dxa"/>
            <w:vMerge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B84F1A" w:rsidRDefault="00B84F1A">
            <w:pPr>
              <w:pStyle w:val="00Nvel1"/>
            </w:pPr>
          </w:p>
        </w:tc>
      </w:tr>
    </w:tbl>
    <w:p w:rsidR="00B84F1A" w:rsidRDefault="00B84F1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84F1A">
      <w:headerReference w:type="default" r:id="rId8"/>
      <w:footerReference w:type="default" r:id="rId9"/>
      <w:pgSz w:w="842pt" w:h="595pt" w:orient="landscape"/>
      <w:pgMar w:top="70.90pt" w:right="77.95pt" w:bottom="85.05pt" w:left="99.25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D45D6">
      <w:r>
        <w:separator/>
      </w:r>
    </w:p>
  </w:endnote>
  <w:endnote w:type="continuationSeparator" w:id="0">
    <w:p w:rsidR="00000000" w:rsidRDefault="002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DejaVu Sans">
    <w:charset w:characterSet="iso-8859-1"/>
    <w:family w:val="roman"/>
    <w:pitch w:val="default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40DC" w:rsidRDefault="002D45D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F640DC" w:rsidRDefault="002D45D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40DC" w:rsidRDefault="002D45D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5735747</wp:posOffset>
          </wp:positionH>
          <wp:positionV relativeFrom="paragraph">
            <wp:posOffset>-413738</wp:posOffset>
          </wp:positionV>
          <wp:extent cx="3827312" cy="1081406"/>
          <wp:effectExtent l="0" t="0" r="1738" b="4444"/>
          <wp:wrapNone/>
          <wp:docPr id="7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27312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9888851</wp:posOffset>
          </wp:positionH>
          <wp:positionV relativeFrom="paragraph">
            <wp:posOffset>133346</wp:posOffset>
          </wp:positionV>
          <wp:extent cx="675641" cy="228600"/>
          <wp:effectExtent l="0" t="0" r="10159" b="0"/>
          <wp:wrapSquare wrapText="bothSides"/>
          <wp:docPr id="8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F640DC" w:rsidRDefault="002D45D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-1266187</wp:posOffset>
          </wp:positionH>
          <wp:positionV relativeFrom="paragraph">
            <wp:posOffset>-413381</wp:posOffset>
          </wp:positionV>
          <wp:extent cx="7547613" cy="1081406"/>
          <wp:effectExtent l="0" t="0" r="0" b="4444"/>
          <wp:wrapNone/>
          <wp:docPr id="9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D45D6">
      <w:r>
        <w:rPr>
          <w:color w:val="000000"/>
        </w:rPr>
        <w:separator/>
      </w:r>
    </w:p>
  </w:footnote>
  <w:footnote w:type="continuationSeparator" w:id="0">
    <w:p w:rsidR="00000000" w:rsidRDefault="002D45D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40DC" w:rsidRDefault="002D45D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2519043</wp:posOffset>
          </wp:positionH>
          <wp:positionV relativeFrom="paragraph">
            <wp:posOffset>9896478</wp:posOffset>
          </wp:positionV>
          <wp:extent cx="2584451" cy="1073789"/>
          <wp:effectExtent l="0" t="0" r="6349" b="0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451" cy="1073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2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40DC" w:rsidRDefault="002D45D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5054794</wp:posOffset>
          </wp:positionH>
          <wp:positionV relativeFrom="paragraph">
            <wp:posOffset>-95509</wp:posOffset>
          </wp:positionV>
          <wp:extent cx="4412510" cy="467221"/>
          <wp:effectExtent l="0" t="0" r="7090" b="9029"/>
          <wp:wrapNone/>
          <wp:docPr id="5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2510" cy="4672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-1271902</wp:posOffset>
          </wp:positionH>
          <wp:positionV relativeFrom="paragraph">
            <wp:posOffset>-700969</wp:posOffset>
          </wp:positionV>
          <wp:extent cx="7559673" cy="1078233"/>
          <wp:effectExtent l="0" t="0" r="3177" b="7617"/>
          <wp:wrapNone/>
          <wp:docPr id="6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4F1A"/>
    <w:rsid w:val="002D45D6"/>
    <w:rsid w:val="00B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F096824-EE63-4B07-8CC1-6294E6D7C3C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pt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paragraph" w:customStyle="1" w:styleId="00Nvel1">
    <w:name w:val="00 Nível 1"/>
    <w:basedOn w:val="Ttulo1"/>
    <w:autoRedefine/>
    <w:pPr>
      <w:keepNext w:val="0"/>
      <w:keepLines w:val="0"/>
      <w:tabs>
        <w:tab w:val="start" w:pos="14.20pt"/>
      </w:tabs>
      <w:suppressAutoHyphens w:val="0"/>
      <w:overflowPunct w:val="0"/>
      <w:spacing w:before="0pt"/>
      <w:ind w:end="1.25pt"/>
    </w:pPr>
    <w:rPr>
      <w:rFonts w:ascii="Arial" w:eastAsia="DejaVu Sans" w:hAnsi="Arial" w:cs="Arial"/>
      <w:b w:val="0"/>
      <w:bCs w:val="0"/>
      <w:color w:val="000000"/>
      <w:kern w:val="3"/>
      <w:sz w:val="20"/>
      <w:szCs w:val="20"/>
      <w:lang w:eastAsia="pt-BR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cp:lastModifiedBy>Pedro Martins Silva</cp:lastModifiedBy>
  <cp:revision>2</cp:revision>
  <cp:lastPrinted>2018-07-04T17:37:00Z</cp:lastPrinted>
  <dcterms:created xsi:type="dcterms:W3CDTF">2019-08-07T18:48:00Z</dcterms:created>
  <dcterms:modified xsi:type="dcterms:W3CDTF">2019-08-07T18:48:00Z</dcterms:modified>
</cp:coreProperties>
</file>