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459.50pt" w:type="dxa"/>
        <w:jc w:val="center"/>
        <w:tblLayout w:type="fixed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1764"/>
        <w:gridCol w:w="7426"/>
      </w:tblGrid>
      <w:tr w:rsidR="00E6217C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E6217C" w:rsidRDefault="00974FA2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E6217C" w:rsidRDefault="00974FA2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-</w:t>
            </w:r>
          </w:p>
        </w:tc>
      </w:tr>
      <w:tr w:rsidR="00E6217C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E6217C" w:rsidRDefault="00974FA2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E6217C" w:rsidRDefault="00974FA2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CAU/BR</w:t>
            </w:r>
          </w:p>
        </w:tc>
      </w:tr>
      <w:tr w:rsidR="00E6217C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E6217C" w:rsidRDefault="00974FA2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E6217C" w:rsidRDefault="00974FA2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Internacionalização - Convênio de Cooperação Técnica com o CAU/SP</w:t>
            </w:r>
          </w:p>
        </w:tc>
      </w:tr>
    </w:tbl>
    <w:p w:rsidR="00E6217C" w:rsidRDefault="00974FA2">
      <w:pPr>
        <w:pBdr>
          <w:top w:val="single" w:sz="8" w:space="1" w:color="7F7F7F"/>
          <w:bottom w:val="single" w:sz="8" w:space="1" w:color="7F7F7F"/>
        </w:pBdr>
        <w:shd w:val="clear" w:color="auto" w:fill="F2F2F2"/>
        <w:jc w:val="center"/>
      </w:pPr>
      <w:r>
        <w:rPr>
          <w:rFonts w:ascii="Times New Roman" w:eastAsia="Times New Roman" w:hAnsi="Times New Roman"/>
          <w:smallCaps/>
          <w:sz w:val="22"/>
          <w:szCs w:val="22"/>
          <w:lang w:eastAsia="pt-BR"/>
        </w:rPr>
        <w:t>DELIBERAÇÃO Nº 020/2018 – CRI – CAU/BR</w:t>
      </w:r>
    </w:p>
    <w:p w:rsidR="00E6217C" w:rsidRDefault="00E6217C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E6217C" w:rsidRDefault="00974FA2">
      <w:pPr>
        <w:jc w:val="both"/>
      </w:pPr>
      <w:r>
        <w:rPr>
          <w:rFonts w:ascii="Times New Roman" w:eastAsia="Times New Roman" w:hAnsi="Times New Roman"/>
          <w:sz w:val="22"/>
          <w:szCs w:val="22"/>
          <w:lang w:eastAsia="pt-BR"/>
        </w:rPr>
        <w:t>A COMISSÃO DE RELAÇÕES INTERNACIONAIS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– CRI-CAU/BR, reunida ordinariamente em Brasília-DF, na Sede do CAU/BR, no dia 7 de março de 2018, no uso das competências que lhe conferem os </w:t>
      </w:r>
      <w:proofErr w:type="spellStart"/>
      <w:r>
        <w:rPr>
          <w:rFonts w:ascii="Times New Roman" w:eastAsia="Times New Roman" w:hAnsi="Times New Roman"/>
          <w:sz w:val="22"/>
          <w:szCs w:val="22"/>
          <w:lang w:eastAsia="pt-BR"/>
        </w:rPr>
        <w:t>arts</w:t>
      </w:r>
      <w:proofErr w:type="spellEnd"/>
      <w:r>
        <w:rPr>
          <w:rFonts w:ascii="Times New Roman" w:eastAsia="Times New Roman" w:hAnsi="Times New Roman"/>
          <w:sz w:val="22"/>
          <w:szCs w:val="22"/>
          <w:lang w:eastAsia="pt-BR"/>
        </w:rPr>
        <w:t>. 106 e 107 do Regimento Interno do CAU/BR, após análise do assunto em epígrafe, e</w:t>
      </w:r>
    </w:p>
    <w:p w:rsidR="00E6217C" w:rsidRDefault="00E6217C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E6217C" w:rsidRDefault="00974FA2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a minuta, r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ecebida do CAU/SP, de convênio de cooperação técnica em matérias de internacionalização; </w:t>
      </w:r>
    </w:p>
    <w:p w:rsidR="00E6217C" w:rsidRDefault="00E6217C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E6217C" w:rsidRDefault="00974FA2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o interesse da Comissão em atuar conjuntamente para o fortalecimento da Arquitetura e Urbanismo brasileiro no país e no exterior; e</w:t>
      </w:r>
    </w:p>
    <w:p w:rsidR="00E6217C" w:rsidRDefault="00E6217C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E6217C" w:rsidRDefault="00974FA2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os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ajustes da Assessoria Jurídica ao documento de trabalho, em atendimento à Deliberação CRI-CAU/BR nº 006/2018.</w:t>
      </w:r>
    </w:p>
    <w:p w:rsidR="00E6217C" w:rsidRDefault="00E6217C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E6217C" w:rsidRDefault="00974FA2">
      <w:pPr>
        <w:spacing w:before="6pt"/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>
        <w:rPr>
          <w:rFonts w:ascii="Times New Roman" w:eastAsia="Times New Roman" w:hAnsi="Times New Roman"/>
          <w:b/>
          <w:sz w:val="22"/>
          <w:szCs w:val="22"/>
          <w:lang w:eastAsia="pt-BR"/>
        </w:rPr>
        <w:t>DELIBERA:</w:t>
      </w:r>
    </w:p>
    <w:p w:rsidR="00E6217C" w:rsidRDefault="00E6217C">
      <w:pPr>
        <w:spacing w:before="6pt"/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</w:p>
    <w:p w:rsidR="00E6217C" w:rsidRDefault="00974FA2">
      <w:pPr>
        <w:numPr>
          <w:ilvl w:val="0"/>
          <w:numId w:val="1"/>
        </w:num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Aprovar a minuta de convênio de cooperação em matérias de internacionalização, anexa, e encaminhá-la ao CAU/SP para elaboração de prop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osta de Plano de Trabalho; e</w:t>
      </w:r>
    </w:p>
    <w:p w:rsidR="00E6217C" w:rsidRDefault="00E6217C">
      <w:pPr>
        <w:ind w:start="36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E6217C" w:rsidRDefault="00974FA2">
      <w:pPr>
        <w:numPr>
          <w:ilvl w:val="0"/>
          <w:numId w:val="1"/>
        </w:num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Encaminhar o documento ao Plenário do CAU/BR para apreciação e deliberação.</w:t>
      </w:r>
    </w:p>
    <w:p w:rsidR="00E6217C" w:rsidRDefault="00E6217C">
      <w:pPr>
        <w:spacing w:before="6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E6217C" w:rsidRDefault="00974FA2">
      <w:pPr>
        <w:jc w:val="center"/>
      </w:pPr>
      <w:r>
        <w:rPr>
          <w:rFonts w:ascii="Times New Roman" w:eastAsia="Times New Roman" w:hAnsi="Times New Roman"/>
          <w:sz w:val="22"/>
          <w:szCs w:val="22"/>
          <w:lang w:eastAsia="pt-BR"/>
        </w:rPr>
        <w:t>Brasília – DF, 07 de março de 2018.</w:t>
      </w:r>
    </w:p>
    <w:p w:rsidR="00E6217C" w:rsidRDefault="00E6217C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E6217C" w:rsidRDefault="00E6217C">
      <w:pPr>
        <w:ind w:firstLine="85.05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tbl>
      <w:tblPr>
        <w:tblW w:w="467.65pt" w:type="dxa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4676"/>
        <w:gridCol w:w="4677"/>
      </w:tblGrid>
      <w:tr w:rsidR="00E6217C">
        <w:tblPrEx>
          <w:tblCellMar>
            <w:top w:w="0pt" w:type="dxa"/>
            <w:bottom w:w="0pt" w:type="dxa"/>
          </w:tblCellMar>
        </w:tblPrEx>
        <w:tc>
          <w:tcPr>
            <w:tcW w:w="233.80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E6217C" w:rsidRDefault="00974FA2">
            <w:pPr>
              <w:autoSpaceDE w:val="0"/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  <w:lang w:eastAsia="pt-BR"/>
              </w:rPr>
              <w:t>Fernando Marcio de Oliveira</w:t>
            </w:r>
          </w:p>
          <w:p w:rsidR="00E6217C" w:rsidRDefault="00974FA2">
            <w:pPr>
              <w:autoSpaceDE w:val="0"/>
            </w:pPr>
            <w:r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Coordenador</w:t>
            </w:r>
          </w:p>
        </w:tc>
        <w:tc>
          <w:tcPr>
            <w:tcW w:w="233.85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E6217C" w:rsidRDefault="00974FA2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E6217C">
        <w:tblPrEx>
          <w:tblCellMar>
            <w:top w:w="0pt" w:type="dxa"/>
            <w:bottom w:w="0pt" w:type="dxa"/>
          </w:tblCellMar>
        </w:tblPrEx>
        <w:tc>
          <w:tcPr>
            <w:tcW w:w="233.80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E6217C" w:rsidRDefault="00974FA2">
            <w:pPr>
              <w:jc w:val="both"/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>Nadia Somekh</w:t>
            </w:r>
          </w:p>
          <w:p w:rsidR="00E6217C" w:rsidRDefault="00974FA2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Coordenador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Adjunto</w:t>
            </w:r>
          </w:p>
        </w:tc>
        <w:tc>
          <w:tcPr>
            <w:tcW w:w="233.85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E6217C" w:rsidRDefault="00974FA2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E6217C">
        <w:tblPrEx>
          <w:tblCellMar>
            <w:top w:w="0pt" w:type="dxa"/>
            <w:bottom w:w="0pt" w:type="dxa"/>
          </w:tblCellMar>
        </w:tblPrEx>
        <w:tc>
          <w:tcPr>
            <w:tcW w:w="233.80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E6217C" w:rsidRDefault="00974FA2">
            <w:pPr>
              <w:jc w:val="both"/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>Eduardo Pasquinelli Rocio</w:t>
            </w:r>
          </w:p>
          <w:p w:rsidR="00E6217C" w:rsidRDefault="00974FA2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233.85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E6217C" w:rsidRDefault="00974FA2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E6217C">
        <w:tblPrEx>
          <w:tblCellMar>
            <w:top w:w="0pt" w:type="dxa"/>
            <w:bottom w:w="0pt" w:type="dxa"/>
          </w:tblCellMar>
        </w:tblPrEx>
        <w:tc>
          <w:tcPr>
            <w:tcW w:w="233.80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E6217C" w:rsidRDefault="00974FA2">
            <w:pPr>
              <w:jc w:val="both"/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>Helio Cavalcanti da Costa Lima</w:t>
            </w:r>
          </w:p>
          <w:p w:rsidR="00E6217C" w:rsidRDefault="00974FA2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233.85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E6217C" w:rsidRDefault="00974FA2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E6217C">
        <w:tblPrEx>
          <w:tblCellMar>
            <w:top w:w="0pt" w:type="dxa"/>
            <w:bottom w:w="0pt" w:type="dxa"/>
          </w:tblCellMar>
        </w:tblPrEx>
        <w:tc>
          <w:tcPr>
            <w:tcW w:w="233.80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E6217C" w:rsidRDefault="00974FA2">
            <w:pPr>
              <w:autoSpaceDE w:val="0"/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>Jeferson Dantas Navolar</w:t>
            </w:r>
          </w:p>
          <w:p w:rsidR="00E6217C" w:rsidRDefault="00974FA2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Membro</w:t>
            </w:r>
          </w:p>
          <w:p w:rsidR="00E6217C" w:rsidRDefault="00E6217C">
            <w:pPr>
              <w:autoSpaceDE w:val="0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233.85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E6217C" w:rsidRDefault="00974FA2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</w:t>
            </w:r>
          </w:p>
        </w:tc>
      </w:tr>
    </w:tbl>
    <w:p w:rsidR="00000000" w:rsidRDefault="00974FA2">
      <w:pPr>
        <w:sectPr w:rsidR="00000000">
          <w:headerReference w:type="default" r:id="rId7"/>
          <w:footerReference w:type="default" r:id="rId8"/>
          <w:pgSz w:w="595pt" w:h="842pt"/>
          <w:pgMar w:top="85.05pt" w:right="56.40pt" w:bottom="77.95pt" w:left="77.95pt" w:header="66.35pt" w:footer="29.20pt" w:gutter="0pt"/>
          <w:cols w:space="36pt"/>
        </w:sectPr>
      </w:pPr>
    </w:p>
    <w:p w:rsidR="00E6217C" w:rsidRDefault="00E6217C"/>
    <w:sectPr w:rsidR="00E6217C">
      <w:type w:val="continuous"/>
      <w:pgSz w:w="595pt" w:h="842pt"/>
      <w:pgMar w:top="85.05pt" w:right="56.40pt" w:bottom="77.95pt" w:left="77.95pt" w:header="66.35pt" w:footer="29.20pt" w:gutter="0pt"/>
      <w:cols w:space="36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000000" w:rsidRDefault="00974FA2">
      <w:r>
        <w:separator/>
      </w:r>
    </w:p>
  </w:endnote>
  <w:endnote w:type="continuationSeparator" w:id="0">
    <w:p w:rsidR="00000000" w:rsidRDefault="00974FA2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characterSet="iso-8859-1"/>
    <w:family w:val="roman"/>
    <w:pitch w:val="variable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557B8D" w:rsidRDefault="00974FA2">
    <w:pPr>
      <w:pStyle w:val="Rodap"/>
      <w:ind w:end="18pt"/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6614769</wp:posOffset>
          </wp:positionH>
          <wp:positionV relativeFrom="paragraph">
            <wp:posOffset>-196778</wp:posOffset>
          </wp:positionV>
          <wp:extent cx="676838" cy="229788"/>
          <wp:effectExtent l="0" t="0" r="0" b="0"/>
          <wp:wrapSquare wrapText="bothSides"/>
          <wp:docPr id="2" name="Caixa de texto 2"/>
          <wp:cNvGraphicFramePr/>
          <a:graphic xmlns:a="http://purl.oclc.org/ooxml/drawingml/main">
            <a:graphicData uri="http://schemas.microsoft.com/office/word/2010/wordprocessingShape">
              <wp:wsp>
                <wp:cNvSpPr txBox="1"/>
                <wp:spPr>
                  <a:xfrm>
                    <a:off x="0" y="0"/>
                    <a:ext cx="676838" cy="229788"/>
                  </a:xfrm>
                  <a:prstGeom prst="rect">
                    <a:avLst/>
                  </a:prstGeom>
                  <a:ln>
                    <a:noFill/>
                    <a:prstDash/>
                  </a:ln>
                </wp:spPr>
                <wp:txbx>
                  <wne:txbxContent>
                    <w:p w:rsidR="00557B8D" w:rsidRDefault="00974FA2">
                      <w:pPr>
                        <w:pStyle w:val="Rodap"/>
                        <w:jc w:val="end"/>
                      </w:pP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begin"/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instrText xml:space="preserve"> PAGE </w:instrTex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separate"/>
                      </w:r>
                      <w:r>
                        <w:rPr>
                          <w:rStyle w:val="Nmerodepgina"/>
                          <w:rFonts w:ascii="Arial" w:hAnsi="Arial"/>
                          <w:noProof/>
                          <w:color w:val="296D7A"/>
                          <w:sz w:val="18"/>
                        </w:rPr>
                        <w:t>1</w: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end"/>
                      </w:r>
                    </w:p>
                  </wne:txbxContent>
                </wp:txbx>
                <wp:bodyPr lIns="0" tIns="0" rIns="0" bIns="0"/>
              </wp:wsp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-990596</wp:posOffset>
          </wp:positionH>
          <wp:positionV relativeFrom="paragraph">
            <wp:posOffset>-519434</wp:posOffset>
          </wp:positionV>
          <wp:extent cx="7547613" cy="1081406"/>
          <wp:effectExtent l="0" t="0" r="0" b="4444"/>
          <wp:wrapNone/>
          <wp:docPr id="3" name="Imagem 7" descr="CAU-BR-timbrado2015--rodape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000000" w:rsidRDefault="00974FA2">
      <w:r>
        <w:rPr>
          <w:color w:val="000000"/>
        </w:rPr>
        <w:separator/>
      </w:r>
    </w:p>
  </w:footnote>
  <w:footnote w:type="continuationSeparator" w:id="0">
    <w:p w:rsidR="00000000" w:rsidRDefault="00974FA2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557B8D" w:rsidRDefault="00974FA2">
    <w:pPr>
      <w:pStyle w:val="Cabealho"/>
      <w:tabs>
        <w:tab w:val="clear" w:pos="216pt"/>
        <w:tab w:val="start" w:pos="144pt"/>
        <w:tab w:val="start" w:pos="306pt"/>
      </w:tabs>
      <w:ind w:start="29.35pt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-995681</wp:posOffset>
          </wp:positionH>
          <wp:positionV relativeFrom="paragraph">
            <wp:posOffset>-839474</wp:posOffset>
          </wp:positionV>
          <wp:extent cx="7559673" cy="1078233"/>
          <wp:effectExtent l="0" t="0" r="3177" b="7617"/>
          <wp:wrapNone/>
          <wp:docPr id="1" name="Imagem 8" descr="CAU-BR-timbrado2015-edit-21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9673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7DC53C61"/>
    <w:multiLevelType w:val="multilevel"/>
    <w:tmpl w:val="38CAF59C"/>
    <w:lvl w:ilvl="0">
      <w:start w:val="1"/>
      <w:numFmt w:val="decimal"/>
      <w:lvlText w:val="%1-"/>
      <w:lvlJc w:val="start"/>
      <w:pPr>
        <w:ind w:start="36pt" w:hanging="18pt"/>
      </w:pPr>
    </w:lvl>
    <w:lvl w:ilvl="1">
      <w:start w:val="1"/>
      <w:numFmt w:val="lowerLetter"/>
      <w:lvlText w:val="%2."/>
      <w:lvlJc w:val="start"/>
      <w:pPr>
        <w:ind w:start="72pt" w:hanging="18pt"/>
      </w:pPr>
    </w:lvl>
    <w:lvl w:ilvl="2">
      <w:start w:val="1"/>
      <w:numFmt w:val="lowerRoman"/>
      <w:lvlText w:val="%3."/>
      <w:lvlJc w:val="end"/>
      <w:pPr>
        <w:ind w:start="108pt" w:hanging="9pt"/>
      </w:pPr>
    </w:lvl>
    <w:lvl w:ilvl="3">
      <w:start w:val="1"/>
      <w:numFmt w:val="decimal"/>
      <w:lvlText w:val="%4."/>
      <w:lvlJc w:val="start"/>
      <w:pPr>
        <w:ind w:start="144pt" w:hanging="18pt"/>
      </w:pPr>
    </w:lvl>
    <w:lvl w:ilvl="4">
      <w:start w:val="1"/>
      <w:numFmt w:val="lowerLetter"/>
      <w:lvlText w:val="%5."/>
      <w:lvlJc w:val="start"/>
      <w:pPr>
        <w:ind w:start="180pt" w:hanging="18pt"/>
      </w:pPr>
    </w:lvl>
    <w:lvl w:ilvl="5">
      <w:start w:val="1"/>
      <w:numFmt w:val="lowerRoman"/>
      <w:lvlText w:val="%6."/>
      <w:lvlJc w:val="end"/>
      <w:pPr>
        <w:ind w:start="216pt" w:hanging="9pt"/>
      </w:pPr>
    </w:lvl>
    <w:lvl w:ilvl="6">
      <w:start w:val="1"/>
      <w:numFmt w:val="decimal"/>
      <w:lvlText w:val="%7."/>
      <w:lvlJc w:val="start"/>
      <w:pPr>
        <w:ind w:start="252pt" w:hanging="18pt"/>
      </w:pPr>
    </w:lvl>
    <w:lvl w:ilvl="7">
      <w:start w:val="1"/>
      <w:numFmt w:val="lowerLetter"/>
      <w:lvlText w:val="%8."/>
      <w:lvlJc w:val="start"/>
      <w:pPr>
        <w:ind w:start="288pt" w:hanging="18pt"/>
      </w:pPr>
    </w:lvl>
    <w:lvl w:ilvl="8">
      <w:start w:val="1"/>
      <w:numFmt w:val="lowerRoman"/>
      <w:lvlText w:val="%9."/>
      <w:lvlJc w:val="end"/>
      <w:pPr>
        <w:ind w:start="324pt" w:hanging="9pt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proofState w:spelling="clean" w:grammar="clean"/>
  <w:attachedTemplate r:id="rId1"/>
  <w:defaultTabStop w:val="36pt"/>
  <w:autoHyphenation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E6217C"/>
    <w:rsid w:val="00974FA2"/>
    <w:rsid w:val="00E62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46BB8D57-6F97-490D-B4E8-181153C8B48D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</w:pPr>
    <w:rPr>
      <w:rFonts w:ascii="Calibri" w:eastAsia="Calibri" w:hAnsi="Calibri"/>
      <w:sz w:val="22"/>
      <w:szCs w:val="22"/>
      <w:lang w:eastAsia="en-US"/>
    </w:rPr>
  </w:style>
  <w:style w:type="paragraph" w:styleId="PargrafodaLista">
    <w:name w:val="List Paragraph"/>
    <w:basedOn w:val="Normal"/>
    <w:pPr>
      <w:ind w:start="36pt"/>
    </w:p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ettings" Target="settings.xml"/><Relationship Id="rId7" Type="http://purl.oclc.org/ooxml/officeDocument/relationships/header" Target="header1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5" Type="http://purl.oclc.org/ooxml/officeDocument/relationships/footnotes" Target="footnotes.xml"/><Relationship Id="rId10" Type="http://purl.oclc.org/ooxml/officeDocument/relationships/theme" Target="theme/theme1.xml"/><Relationship Id="rId4" Type="http://purl.oclc.org/ooxml/officeDocument/relationships/webSettings" Target="webSettings.xml"/><Relationship Id="rId9" Type="http://purl.oclc.org/ooxml/officeDocument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purl.oclc.org/ooxml/officeDocument/relationships/attachedTemplate" Target="Normal" TargetMode="External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1</Pages>
  <Words>231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Pedro Martins Silva</cp:lastModifiedBy>
  <cp:revision>2</cp:revision>
  <cp:lastPrinted>2015-03-04T21:55:00Z</cp:lastPrinted>
  <dcterms:created xsi:type="dcterms:W3CDTF">2019-08-08T14:07:00Z</dcterms:created>
  <dcterms:modified xsi:type="dcterms:W3CDTF">2019-08-08T14:07:00Z</dcterms:modified>
</cp:coreProperties>
</file>