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62.10pt" w:type="dxa"/>
        <w:jc w:val="center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974"/>
        <w:gridCol w:w="7268"/>
      </w:tblGrid>
      <w:tr w:rsidR="00FB7957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B7957" w:rsidRDefault="006B4959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B7957" w:rsidRDefault="006B4959">
            <w:pPr>
              <w:widowControl w:val="0"/>
              <w:jc w:val="both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Protocolo SICCAU nº 672925/2018 – CAU/SC encaminha consulta ao CAU/BR sobre a atribuição dos arquitetos e urbanistas, na qual anexa a Deliberação nº10/2018 da CEP-CAU-SC que 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>cita a Deliberação Plenária nº 90/2016 do CAU/SC.</w:t>
            </w:r>
          </w:p>
        </w:tc>
      </w:tr>
      <w:tr w:rsidR="00FB7957">
        <w:tblPrEx>
          <w:tblCellMar>
            <w:top w:w="0pt" w:type="dxa"/>
            <w:bottom w:w="0pt" w:type="dxa"/>
          </w:tblCellMar>
        </w:tblPrEx>
        <w:trPr>
          <w:cantSplit/>
          <w:trHeight w:val="388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B7957" w:rsidRDefault="006B4959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B7957" w:rsidRDefault="006B4959">
            <w:pPr>
              <w:widowControl w:val="0"/>
            </w:pPr>
            <w:r>
              <w:rPr>
                <w:rFonts w:ascii="Times New Roman" w:hAnsi="Times New Roman"/>
                <w:bCs/>
                <w:strike/>
                <w:sz w:val="22"/>
                <w:szCs w:val="22"/>
              </w:rPr>
              <w:t>Presidência do CAU/BR</w:t>
            </w:r>
          </w:p>
        </w:tc>
      </w:tr>
      <w:tr w:rsidR="00FB7957">
        <w:tblPrEx>
          <w:tblCellMar>
            <w:top w:w="0pt" w:type="dxa"/>
            <w:bottom w:w="0pt" w:type="dxa"/>
          </w:tblCellMar>
        </w:tblPrEx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bottom w:val="single" w:sz="4" w:space="0" w:color="7F7F7F"/>
              <w:end w:val="single" w:sz="4" w:space="0" w:color="7F7F7F"/>
            </w:tcBorders>
            <w:shd w:val="clear" w:color="auto" w:fill="F2F2F2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B7957" w:rsidRDefault="006B4959">
            <w:pP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trike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3.4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65pt" w:type="dxa"/>
              <w:bottom w:w="0pt" w:type="dxa"/>
              <w:end w:w="5.65pt" w:type="dxa"/>
            </w:tcMar>
            <w:vAlign w:val="center"/>
          </w:tcPr>
          <w:p w:rsidR="00FB7957" w:rsidRDefault="006B4959">
            <w:pPr>
              <w:widowControl w:val="0"/>
            </w:pPr>
            <w:r>
              <w:rPr>
                <w:rFonts w:ascii="Times New Roman" w:hAnsi="Times New Roman"/>
                <w:strike/>
                <w:sz w:val="22"/>
                <w:szCs w:val="22"/>
              </w:rPr>
              <w:t>Ordem do dia nº 12 da 76ª Reunião Ordinária da CEP-CAU/BR: apreciar a irregularidade da Deliberação Plenária nº 90/2016-CAU/SC, em conflito com a Lei 12378/2010 e</w:t>
            </w:r>
            <w:r>
              <w:rPr>
                <w:rFonts w:ascii="Times New Roman" w:hAnsi="Times New Roman"/>
                <w:strike/>
                <w:sz w:val="22"/>
                <w:szCs w:val="22"/>
              </w:rPr>
              <w:t xml:space="preserve"> os Normativos do CAU/BR </w:t>
            </w:r>
          </w:p>
        </w:tc>
      </w:tr>
    </w:tbl>
    <w:p w:rsidR="00FB7957" w:rsidRDefault="006B4959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trike/>
          <w:sz w:val="22"/>
          <w:szCs w:val="22"/>
          <w:lang w:eastAsia="pt-BR"/>
        </w:rPr>
      </w:pP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DELIBERAÇÃO Nº 086/2018 – (CEP-CAU/BR)</w:t>
      </w:r>
    </w:p>
    <w:p w:rsidR="00FB7957" w:rsidRDefault="00FB7957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</w:p>
    <w:p w:rsidR="00FB7957" w:rsidRDefault="006B4959">
      <w:pPr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A COMISSÃO DE EXERCÍCIO PROFISSIONAL – CEP</w:t>
      </w:r>
      <w:r>
        <w:rPr>
          <w:rFonts w:ascii="Times New Roman" w:hAnsi="Times New Roman"/>
          <w:b/>
          <w:smallCaps/>
          <w:strike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trike/>
          <w:sz w:val="22"/>
          <w:szCs w:val="22"/>
          <w:lang w:eastAsia="pt-BR"/>
        </w:rPr>
        <w:t>CAU/BR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, reunida ordinariamente em Brasília-DF, na sede do CAU/BR, nos dias 04 e 05 de outubro de 2018, no uso das competências que lhe conferem </w:t>
      </w:r>
      <w:r>
        <w:rPr>
          <w:rFonts w:ascii="Times New Roman" w:hAnsi="Times New Roman"/>
          <w:strike/>
          <w:sz w:val="22"/>
          <w:szCs w:val="22"/>
          <w:lang w:eastAsia="pt-BR"/>
        </w:rPr>
        <w:t>o art. 97, 101 e 102 do Regimento Interno do CAU/BR, após análise do assunto em epígrafe, e</w:t>
      </w:r>
    </w:p>
    <w:p w:rsidR="00FB7957" w:rsidRDefault="00FB7957">
      <w:pPr>
        <w:pStyle w:val="Recuodecorpodetexto"/>
        <w:ind w:firstLine="0pt"/>
        <w:rPr>
          <w:strike/>
          <w:szCs w:val="22"/>
        </w:rPr>
      </w:pPr>
    </w:p>
    <w:p w:rsidR="00FB7957" w:rsidRDefault="006B4959">
      <w:pPr>
        <w:pStyle w:val="Recuodecorpodetexto"/>
        <w:ind w:firstLine="0pt"/>
      </w:pPr>
      <w:r>
        <w:rPr>
          <w:rStyle w:val="fontstyle01"/>
          <w:rFonts w:ascii="Times New Roman" w:hAnsi="Times New Roman"/>
          <w:strike/>
        </w:rPr>
        <w:t xml:space="preserve">Considerando a Deliberação Plenária n° 90, de 17 de junho de 2016, do CAU/SC, que </w:t>
      </w:r>
      <w:r>
        <w:rPr>
          <w:rStyle w:val="fontstyle01"/>
          <w:rFonts w:ascii="Times New Roman" w:hAnsi="Times New Roman"/>
          <w:strike/>
        </w:rPr>
        <w:br/>
      </w:r>
      <w:r>
        <w:rPr>
          <w:rStyle w:val="fontstyle01"/>
          <w:rFonts w:ascii="Times New Roman" w:hAnsi="Times New Roman"/>
          <w:strike/>
        </w:rPr>
        <w:t>dispõe sobre a atribuição dos arquitetos e urbanistas para realizar atividades d</w:t>
      </w:r>
      <w:r>
        <w:rPr>
          <w:rStyle w:val="fontstyle01"/>
          <w:rFonts w:ascii="Times New Roman" w:hAnsi="Times New Roman"/>
          <w:strike/>
        </w:rPr>
        <w:t>e projeto e execução de</w:t>
      </w:r>
      <w:r>
        <w:rPr>
          <w:rStyle w:val="fontstyle01"/>
          <w:rFonts w:ascii="Times New Roman" w:hAnsi="Times New Roman"/>
          <w:strike/>
        </w:rPr>
        <w:br/>
      </w:r>
      <w:r>
        <w:rPr>
          <w:rStyle w:val="fontstyle01"/>
          <w:rFonts w:ascii="Times New Roman" w:hAnsi="Times New Roman"/>
          <w:strike/>
        </w:rPr>
        <w:t>drenagem pluvial urbana, e delibera:</w:t>
      </w:r>
    </w:p>
    <w:p w:rsidR="00FB7957" w:rsidRDefault="006B4959">
      <w:pPr>
        <w:pStyle w:val="Recuodecorpodetexto"/>
        <w:ind w:start="21.30pt" w:firstLine="0pt"/>
      </w:pPr>
      <w:r>
        <w:rPr>
          <w:rStyle w:val="fontstyle01"/>
          <w:rFonts w:ascii="Times New Roman" w:hAnsi="Times New Roman"/>
          <w:i/>
          <w:strike/>
        </w:rPr>
        <w:t>“Art. 1º Que as atividades de projeto e execução de drenagem pluvial urbana, incluindo o dimensionamento das redes e dos seus elementos constituintes</w:t>
      </w:r>
      <w:r>
        <w:rPr>
          <w:rStyle w:val="fontstyle01"/>
          <w:rFonts w:ascii="Times New Roman" w:hAnsi="Times New Roman"/>
          <w:b/>
          <w:i/>
          <w:strike/>
        </w:rPr>
        <w:t>, são</w:t>
      </w:r>
      <w:r>
        <w:rPr>
          <w:rStyle w:val="fontstyle01"/>
          <w:rFonts w:ascii="Times New Roman" w:hAnsi="Times New Roman"/>
          <w:i/>
          <w:strike/>
        </w:rPr>
        <w:t xml:space="preserve"> de atribuições dos Arquitetos e Urbanist</w:t>
      </w:r>
      <w:r>
        <w:rPr>
          <w:rStyle w:val="fontstyle01"/>
          <w:rFonts w:ascii="Times New Roman" w:hAnsi="Times New Roman"/>
          <w:i/>
          <w:strike/>
        </w:rPr>
        <w:t>as; devendo a Gerência Técnica do CAU/SC aplicar esta deliberação até manifestação formal do CAU/BR;”</w:t>
      </w:r>
    </w:p>
    <w:p w:rsidR="00FB7957" w:rsidRDefault="006B4959">
      <w:pPr>
        <w:pStyle w:val="Recuodecorpodetexto"/>
        <w:ind w:start="21.30pt" w:firstLine="0pt"/>
      </w:pPr>
      <w:r>
        <w:rPr>
          <w:rStyle w:val="fontstyle01"/>
          <w:rFonts w:ascii="Times New Roman" w:hAnsi="Times New Roman"/>
          <w:i/>
          <w:strike/>
        </w:rPr>
        <w:t>Art. 2º. Que esta decisão seja encaminhada ao CAU/BR, para que se posicionem</w:t>
      </w:r>
      <w:r>
        <w:rPr>
          <w:rStyle w:val="fontstyle01"/>
          <w:rFonts w:ascii="Times New Roman" w:hAnsi="Times New Roman"/>
          <w:i/>
          <w:strike/>
        </w:rPr>
        <w:br/>
      </w:r>
      <w:r>
        <w:rPr>
          <w:rStyle w:val="fontstyle01"/>
          <w:rFonts w:ascii="Times New Roman" w:hAnsi="Times New Roman"/>
          <w:i/>
          <w:strike/>
        </w:rPr>
        <w:t>sobre os limites destas atribuições;</w:t>
      </w:r>
    </w:p>
    <w:p w:rsidR="00FB7957" w:rsidRDefault="006B4959">
      <w:pPr>
        <w:pStyle w:val="Recuodecorpodetexto"/>
        <w:ind w:start="21.30pt" w:firstLine="0pt"/>
      </w:pPr>
      <w:r>
        <w:rPr>
          <w:rStyle w:val="fontstyle01"/>
          <w:rFonts w:ascii="Times New Roman" w:hAnsi="Times New Roman"/>
          <w:i/>
          <w:strike/>
        </w:rPr>
        <w:t>Art. 3º. Revogar as disposições em contr</w:t>
      </w:r>
      <w:r>
        <w:rPr>
          <w:rStyle w:val="fontstyle01"/>
          <w:rFonts w:ascii="Times New Roman" w:hAnsi="Times New Roman"/>
          <w:i/>
          <w:strike/>
        </w:rPr>
        <w:t>ário, sendo que esta Deliberação Plenária</w:t>
      </w:r>
      <w:r>
        <w:rPr>
          <w:rStyle w:val="fontstyle01"/>
          <w:rFonts w:ascii="Times New Roman" w:hAnsi="Times New Roman"/>
          <w:i/>
          <w:strike/>
        </w:rPr>
        <w:br/>
      </w:r>
      <w:r>
        <w:rPr>
          <w:rStyle w:val="fontstyle01"/>
          <w:rFonts w:ascii="Times New Roman" w:hAnsi="Times New Roman"/>
          <w:i/>
          <w:strike/>
        </w:rPr>
        <w:t>entra em vigor na data da sua publicação.”</w:t>
      </w:r>
    </w:p>
    <w:p w:rsidR="00FB7957" w:rsidRDefault="00FB7957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FB7957" w:rsidRDefault="006B4959">
      <w:pPr>
        <w:pStyle w:val="Recuodecorpodetexto"/>
        <w:ind w:firstLine="0pt"/>
      </w:pPr>
      <w:r>
        <w:rPr>
          <w:strike/>
          <w:szCs w:val="22"/>
        </w:rPr>
        <w:t>Considerando a Lei nº 12.378, de 31 de dezembro de 2010, que dispõe em seu art. 3º que “</w:t>
      </w:r>
      <w:r>
        <w:rPr>
          <w:i/>
          <w:strike/>
          <w:szCs w:val="22"/>
        </w:rPr>
        <w:t xml:space="preserve">Os campos da atuação profissional para o exercício da arquitetura e urbanismo são </w:t>
      </w:r>
      <w:r>
        <w:rPr>
          <w:i/>
          <w:strike/>
          <w:szCs w:val="22"/>
        </w:rPr>
        <w:t>definidos a partir das diretrizes curriculares nacionais que dispõem sobre a formação do profissional arquiteto e urbanista nas quais os núcleos de conhecimentos de fundamentação e de conhecimentos profissionais caracterizam a unidade de atuação profission</w:t>
      </w:r>
      <w:r>
        <w:rPr>
          <w:i/>
          <w:strike/>
          <w:szCs w:val="22"/>
        </w:rPr>
        <w:t xml:space="preserve">al."; </w:t>
      </w:r>
    </w:p>
    <w:p w:rsidR="00FB7957" w:rsidRDefault="00FB7957">
      <w:pPr>
        <w:pStyle w:val="Recuodecorpodetexto"/>
        <w:ind w:firstLine="0pt"/>
        <w:rPr>
          <w:strike/>
          <w:szCs w:val="22"/>
        </w:rPr>
      </w:pPr>
    </w:p>
    <w:p w:rsidR="00FB7957" w:rsidRDefault="006B4959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>Considerando o disposto na Resolução CAU/BR nº 21, de 5 de abril de 2012, em que se encontram detalhadas as atividades, atribuições e campos de atuação do arquiteto e urbanista, regulamentados pelo art. 2º da Lei nº 12.378, de 2010;</w:t>
      </w:r>
    </w:p>
    <w:p w:rsidR="00FB7957" w:rsidRDefault="00FB7957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FB7957" w:rsidRDefault="006B4959">
      <w:pPr>
        <w:jc w:val="both"/>
      </w:pPr>
      <w:r>
        <w:rPr>
          <w:rFonts w:ascii="Times New Roman" w:hAnsi="Times New Roman"/>
          <w:strike/>
          <w:sz w:val="22"/>
          <w:szCs w:val="22"/>
        </w:rPr>
        <w:t>Considerando a</w:t>
      </w:r>
      <w:r>
        <w:rPr>
          <w:rFonts w:ascii="Times New Roman" w:hAnsi="Times New Roman"/>
          <w:strike/>
          <w:sz w:val="22"/>
          <w:szCs w:val="22"/>
        </w:rPr>
        <w:t xml:space="preserve"> Orientação Técnica nº 13/2012 da CEP-CAU/BR que esclareceu: “</w:t>
      </w:r>
      <w:r>
        <w:rPr>
          <w:rFonts w:ascii="Times New Roman" w:hAnsi="Times New Roman"/>
          <w:i/>
          <w:strike/>
          <w:sz w:val="22"/>
          <w:szCs w:val="22"/>
        </w:rPr>
        <w:t>c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 xml:space="preserve">om relação ao </w:t>
      </w:r>
      <w:r>
        <w:rPr>
          <w:rFonts w:ascii="Times New Roman" w:hAnsi="Times New Roman"/>
          <w:bCs/>
          <w:i/>
          <w:strike/>
          <w:sz w:val="22"/>
          <w:szCs w:val="22"/>
          <w:lang w:eastAsia="pt-BR"/>
        </w:rPr>
        <w:t>planejamento urbano, metropolitano e regional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>, (...) a elaboração de plano de saneamento básico e plano diretor de drenagem pluvial, capitulados nos itens 4.4.6 e 4.4.7 da Resoluç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 xml:space="preserve">ão CAU/BR nº 21/2012 </w:t>
      </w:r>
      <w:r>
        <w:rPr>
          <w:rFonts w:ascii="Times New Roman" w:hAnsi="Times New Roman"/>
          <w:b/>
          <w:bCs/>
          <w:i/>
          <w:strike/>
          <w:sz w:val="22"/>
          <w:szCs w:val="22"/>
          <w:lang w:eastAsia="pt-BR"/>
        </w:rPr>
        <w:t xml:space="preserve">não </w:t>
      </w:r>
      <w:r>
        <w:rPr>
          <w:rFonts w:ascii="Times New Roman" w:hAnsi="Times New Roman"/>
          <w:i/>
          <w:strike/>
          <w:sz w:val="22"/>
          <w:szCs w:val="22"/>
          <w:lang w:eastAsia="pt-BR"/>
        </w:rPr>
        <w:t>contemplam o dimensionamento das redes e o detalhamento do projeto, tão pouco a responsabilidade por sua execução.</w:t>
      </w:r>
      <w:r>
        <w:rPr>
          <w:rFonts w:ascii="Times New Roman" w:hAnsi="Times New Roman"/>
          <w:strike/>
          <w:sz w:val="22"/>
          <w:szCs w:val="22"/>
          <w:lang w:eastAsia="pt-BR"/>
        </w:rPr>
        <w:t>”;</w:t>
      </w:r>
    </w:p>
    <w:p w:rsidR="00FB7957" w:rsidRDefault="00FB7957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FB7957" w:rsidRDefault="006B4959">
      <w:pPr>
        <w:jc w:val="both"/>
      </w:pPr>
      <w:r>
        <w:rPr>
          <w:rFonts w:ascii="Times New Roman" w:hAnsi="Times New Roman"/>
          <w:strike/>
          <w:sz w:val="22"/>
          <w:szCs w:val="22"/>
        </w:rPr>
        <w:t>Considerando a Orientação Técnica nº 18/2013 da CEP-CAU/BR que esclareceu: “</w:t>
      </w:r>
      <w:r>
        <w:rPr>
          <w:rFonts w:ascii="Times New Roman" w:hAnsi="Times New Roman"/>
          <w:i/>
          <w:strike/>
          <w:sz w:val="22"/>
          <w:szCs w:val="22"/>
        </w:rPr>
        <w:t xml:space="preserve">as atividades técnicas de elaboração </w:t>
      </w:r>
      <w:r>
        <w:rPr>
          <w:rFonts w:ascii="Times New Roman" w:hAnsi="Times New Roman"/>
          <w:i/>
          <w:strike/>
          <w:sz w:val="22"/>
          <w:szCs w:val="22"/>
        </w:rPr>
        <w:t xml:space="preserve">de projeto e execução de rede de abastecimento de água, assim como as atividades técnicas de elaboração de projeto e de execução de rede coletora de esgotamento sanitário </w:t>
      </w:r>
      <w:r>
        <w:rPr>
          <w:rFonts w:ascii="Times New Roman" w:hAnsi="Times New Roman"/>
          <w:b/>
          <w:i/>
          <w:strike/>
          <w:sz w:val="22"/>
          <w:szCs w:val="22"/>
        </w:rPr>
        <w:t xml:space="preserve">não são </w:t>
      </w:r>
      <w:r>
        <w:rPr>
          <w:rFonts w:ascii="Times New Roman" w:hAnsi="Times New Roman"/>
          <w:i/>
          <w:strike/>
          <w:sz w:val="22"/>
          <w:szCs w:val="22"/>
        </w:rPr>
        <w:t>da competência do arquiteto e urbanista</w:t>
      </w:r>
      <w:r>
        <w:rPr>
          <w:rFonts w:ascii="Times New Roman" w:hAnsi="Times New Roman"/>
          <w:strike/>
          <w:sz w:val="22"/>
          <w:szCs w:val="22"/>
        </w:rPr>
        <w:t>.”; e</w:t>
      </w:r>
    </w:p>
    <w:p w:rsidR="00FB7957" w:rsidRDefault="00FB7957">
      <w:pPr>
        <w:jc w:val="both"/>
        <w:rPr>
          <w:rFonts w:ascii="Times New Roman" w:hAnsi="Times New Roman"/>
          <w:strike/>
          <w:sz w:val="22"/>
          <w:szCs w:val="22"/>
        </w:rPr>
      </w:pPr>
    </w:p>
    <w:p w:rsidR="00FB7957" w:rsidRDefault="006B4959">
      <w:pPr>
        <w:jc w:val="both"/>
      </w:pPr>
      <w:r>
        <w:rPr>
          <w:rFonts w:ascii="Times New Roman" w:hAnsi="Times New Roman"/>
          <w:strike/>
          <w:sz w:val="22"/>
          <w:szCs w:val="22"/>
        </w:rPr>
        <w:t xml:space="preserve">Considerando o Memorando </w:t>
      </w:r>
      <w:r>
        <w:rPr>
          <w:rFonts w:ascii="Times New Roman" w:hAnsi="Times New Roman"/>
          <w:strike/>
          <w:sz w:val="22"/>
          <w:szCs w:val="22"/>
        </w:rPr>
        <w:t>nº12/2014 da CEP-CAU/BR e Ofício CAU/BR nº 550/2014, que esclareceram: “</w:t>
      </w:r>
      <w:r>
        <w:rPr>
          <w:rFonts w:ascii="Times New Roman" w:hAnsi="Times New Roman"/>
          <w:i/>
          <w:strike/>
          <w:sz w:val="22"/>
          <w:szCs w:val="22"/>
        </w:rPr>
        <w:t>no que diz respeito aos sistemas de abastecimento de água e de esgotamento sanitário, a Lei 12.378, de 2010, em seu art. 2º, inciso V, estabeleceu, em consonância com as supracitadas d</w:t>
      </w:r>
      <w:r>
        <w:rPr>
          <w:rFonts w:ascii="Times New Roman" w:hAnsi="Times New Roman"/>
          <w:i/>
          <w:strike/>
          <w:sz w:val="22"/>
          <w:szCs w:val="22"/>
        </w:rPr>
        <w:t xml:space="preserve">iretrizes curriculares, que tais atividades técnicas competem ao arquiteto e urbanista exclusivamente no âmbito </w:t>
      </w:r>
      <w:r>
        <w:rPr>
          <w:rFonts w:ascii="Times New Roman" w:hAnsi="Times New Roman"/>
          <w:i/>
          <w:strike/>
          <w:sz w:val="22"/>
          <w:szCs w:val="22"/>
        </w:rPr>
        <w:lastRenderedPageBreak/>
        <w:t>do planejamento físico territorial: planos de intervenção no espaço urbano, metropolitano e regional fundamentados nos sistemas de infraestrutur</w:t>
      </w:r>
      <w:r>
        <w:rPr>
          <w:rFonts w:ascii="Times New Roman" w:hAnsi="Times New Roman"/>
          <w:i/>
          <w:strike/>
          <w:sz w:val="22"/>
          <w:szCs w:val="22"/>
        </w:rPr>
        <w:t xml:space="preserve">a, saneamento básico e ambiental” </w:t>
      </w:r>
      <w:r>
        <w:rPr>
          <w:rFonts w:ascii="Times New Roman" w:hAnsi="Times New Roman"/>
          <w:strike/>
          <w:sz w:val="22"/>
          <w:szCs w:val="22"/>
        </w:rPr>
        <w:t>e que</w:t>
      </w:r>
      <w:r>
        <w:rPr>
          <w:rFonts w:ascii="Times New Roman" w:hAnsi="Times New Roman"/>
          <w:i/>
          <w:strike/>
          <w:sz w:val="22"/>
          <w:szCs w:val="22"/>
        </w:rPr>
        <w:t xml:space="preserve"> “a atividade capitulada como 1.5.1 (Projeto de Instalações </w:t>
      </w:r>
      <w:r>
        <w:rPr>
          <w:rFonts w:ascii="Times New Roman" w:hAnsi="Times New Roman"/>
          <w:b/>
          <w:i/>
          <w:strike/>
          <w:sz w:val="22"/>
          <w:szCs w:val="22"/>
        </w:rPr>
        <w:t>prediais</w:t>
      </w:r>
      <w:r>
        <w:rPr>
          <w:rFonts w:ascii="Times New Roman" w:hAnsi="Times New Roman"/>
          <w:i/>
          <w:strike/>
          <w:sz w:val="22"/>
          <w:szCs w:val="22"/>
        </w:rPr>
        <w:t xml:space="preserve">) do art. 3º da Resolução CAU/BR nº 21, de 2012, </w:t>
      </w:r>
      <w:r>
        <w:rPr>
          <w:rFonts w:ascii="Times New Roman" w:hAnsi="Times New Roman"/>
          <w:b/>
          <w:i/>
          <w:strike/>
          <w:sz w:val="22"/>
          <w:szCs w:val="22"/>
        </w:rPr>
        <w:t xml:space="preserve">não </w:t>
      </w:r>
      <w:r>
        <w:rPr>
          <w:rFonts w:ascii="Times New Roman" w:hAnsi="Times New Roman"/>
          <w:i/>
          <w:strike/>
          <w:sz w:val="22"/>
          <w:szCs w:val="22"/>
        </w:rPr>
        <w:t>contempla a elaboração de projeto de rede de abastecimento de água nem a elaboração de projeto d</w:t>
      </w:r>
      <w:r>
        <w:rPr>
          <w:rFonts w:ascii="Times New Roman" w:hAnsi="Times New Roman"/>
          <w:i/>
          <w:strike/>
          <w:sz w:val="22"/>
          <w:szCs w:val="22"/>
        </w:rPr>
        <w:t>e rede coletora de esgotamento sanitário.”.</w:t>
      </w:r>
    </w:p>
    <w:p w:rsidR="00FB7957" w:rsidRDefault="00FB7957">
      <w:pPr>
        <w:pStyle w:val="Recuodecorpodetexto"/>
        <w:ind w:firstLine="0pt"/>
        <w:rPr>
          <w:strike/>
          <w:szCs w:val="22"/>
        </w:rPr>
      </w:pPr>
    </w:p>
    <w:p w:rsidR="00FB7957" w:rsidRDefault="006B4959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>Considerando as Deliberações da CEP-CAU/BR nº 22/2017 e nº 110/2017 que dispõem:</w:t>
      </w:r>
    </w:p>
    <w:p w:rsidR="00FB7957" w:rsidRDefault="006B4959">
      <w:pPr>
        <w:pStyle w:val="Recuodecorpodetexto"/>
        <w:ind w:firstLine="0pt"/>
      </w:pPr>
      <w:r>
        <w:rPr>
          <w:strike/>
          <w:szCs w:val="22"/>
        </w:rPr>
        <w:t xml:space="preserve"> – </w:t>
      </w:r>
      <w:r>
        <w:rPr>
          <w:rFonts w:eastAsia="Calibri"/>
          <w:strike/>
          <w:szCs w:val="22"/>
        </w:rPr>
        <w:t xml:space="preserve">Manifestar que </w:t>
      </w:r>
      <w:r>
        <w:rPr>
          <w:strike/>
          <w:szCs w:val="22"/>
        </w:rPr>
        <w:t>a execução de tratamento de efluentes</w:t>
      </w:r>
      <w:r>
        <w:rPr>
          <w:rFonts w:eastAsia="Calibri"/>
          <w:strike/>
          <w:szCs w:val="22"/>
        </w:rPr>
        <w:t xml:space="preserve"> é</w:t>
      </w:r>
      <w:r>
        <w:rPr>
          <w:strike/>
          <w:szCs w:val="22"/>
        </w:rPr>
        <w:t xml:space="preserve"> atribuição dos Arquitetos e Urbanistas, porém limitado às instalações </w:t>
      </w:r>
      <w:r>
        <w:rPr>
          <w:b/>
          <w:strike/>
          <w:szCs w:val="22"/>
        </w:rPr>
        <w:t>pr</w:t>
      </w:r>
      <w:r>
        <w:rPr>
          <w:b/>
          <w:strike/>
          <w:szCs w:val="22"/>
        </w:rPr>
        <w:t>ediais</w:t>
      </w:r>
      <w:r>
        <w:rPr>
          <w:strike/>
          <w:szCs w:val="22"/>
        </w:rPr>
        <w:t>, não contemplando o dimensionamento, detalhamento, nem a responsabilidade por execução de infraestrutura de redes e tratamento de efluentes em malhas urbanas;</w:t>
      </w:r>
    </w:p>
    <w:p w:rsidR="00FB7957" w:rsidRDefault="006B4959">
      <w:pPr>
        <w:pStyle w:val="Recuodecorpodetexto"/>
        <w:ind w:firstLine="0pt"/>
        <w:rPr>
          <w:strike/>
          <w:szCs w:val="22"/>
        </w:rPr>
      </w:pPr>
      <w:r>
        <w:rPr>
          <w:strike/>
          <w:szCs w:val="22"/>
        </w:rPr>
        <w:t>- Manifestar que as atividades técnicas relacionadas à rede pública de captação e abasteci</w:t>
      </w:r>
      <w:r>
        <w:rPr>
          <w:strike/>
          <w:szCs w:val="22"/>
        </w:rPr>
        <w:t>mento de água e rede pública de tratamento de esgoto não são de atribuição e campo de atuação do profissional de Arquitetura e Urbanismo;</w:t>
      </w:r>
    </w:p>
    <w:p w:rsidR="00FB7957" w:rsidRDefault="00FB7957">
      <w:pPr>
        <w:pStyle w:val="Recuodecorpodetexto"/>
        <w:ind w:firstLine="0pt"/>
        <w:rPr>
          <w:strike/>
          <w:szCs w:val="22"/>
        </w:rPr>
      </w:pPr>
    </w:p>
    <w:p w:rsidR="00FB7957" w:rsidRDefault="006B4959">
      <w:pPr>
        <w:jc w:val="both"/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Considerando que os Registros de Responsabilidades Técnicas (RRT) não podem ser constituídos por atividades técnicas 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que </w:t>
      </w:r>
      <w:r>
        <w:rPr>
          <w:rFonts w:ascii="Times New Roman" w:eastAsia="Times New Roman" w:hAnsi="Times New Roman"/>
          <w:b/>
          <w:strike/>
          <w:sz w:val="22"/>
          <w:szCs w:val="22"/>
          <w:lang w:eastAsia="pt-BR"/>
        </w:rPr>
        <w:t>não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 são da responsabilidade, atribuição e campo de atuação do arquiteto e urbanista e para o exercício profissional da Arquitetura e Urbanismo.</w:t>
      </w:r>
    </w:p>
    <w:p w:rsidR="00FB7957" w:rsidRDefault="00FB7957">
      <w:pPr>
        <w:pStyle w:val="Recuodecorpodetexto"/>
        <w:ind w:firstLine="0pt"/>
        <w:rPr>
          <w:strike/>
          <w:szCs w:val="22"/>
        </w:rPr>
      </w:pPr>
    </w:p>
    <w:p w:rsidR="00FB7957" w:rsidRDefault="006B4959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Considerando que o ato deliberativo expedito pelo Plenário do CAU/SC extrapola as competências estabelecida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s na Lei 12.378, de 2010, e descumpre o Regimento Geral do CAU e entra em conflito com os Normativos do CAU/BR;</w:t>
      </w:r>
    </w:p>
    <w:p w:rsidR="00FB7957" w:rsidRDefault="00FB7957">
      <w:pPr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</w:p>
    <w:p w:rsidR="00FB7957" w:rsidRDefault="006B4959">
      <w:pPr>
        <w:jc w:val="both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 xml:space="preserve">Considerando a Deliberação Plenária DPOBR nº 0071-08/2017, que dispõe sobre as ações do CAU/BR junto aos CAU/UF quando estes editarem atos em </w:t>
      </w:r>
      <w:r>
        <w:rPr>
          <w:rFonts w:ascii="Times New Roman" w:hAnsi="Times New Roman"/>
          <w:strike/>
          <w:sz w:val="22"/>
          <w:szCs w:val="22"/>
          <w:lang w:eastAsia="pt-BR"/>
        </w:rPr>
        <w:t>conflito com a Lei, Regimento e Normativos do CAU/BR.</w:t>
      </w:r>
    </w:p>
    <w:p w:rsidR="00FB7957" w:rsidRDefault="00FB7957">
      <w:pPr>
        <w:pStyle w:val="Recuodecorpodetexto"/>
        <w:ind w:firstLine="0pt"/>
        <w:rPr>
          <w:strike/>
          <w:szCs w:val="22"/>
        </w:rPr>
      </w:pPr>
    </w:p>
    <w:p w:rsidR="00FB7957" w:rsidRDefault="006B4959">
      <w:pPr>
        <w:pStyle w:val="Recuodecorpodetexto"/>
        <w:ind w:firstLine="0pt"/>
      </w:pPr>
      <w:r>
        <w:rPr>
          <w:rFonts w:eastAsia="Cambria"/>
          <w:b/>
          <w:strike/>
          <w:szCs w:val="22"/>
        </w:rPr>
        <w:t>DELIBERA</w:t>
      </w:r>
      <w:r>
        <w:rPr>
          <w:b/>
          <w:strike/>
          <w:szCs w:val="22"/>
        </w:rPr>
        <w:t>:</w:t>
      </w:r>
    </w:p>
    <w:p w:rsidR="00FB7957" w:rsidRDefault="00FB7957">
      <w:pPr>
        <w:pStyle w:val="Recuodecorpodetexto"/>
        <w:ind w:firstLine="0pt"/>
        <w:rPr>
          <w:rFonts w:eastAsia="Calibri"/>
          <w:strike/>
          <w:szCs w:val="22"/>
        </w:rPr>
      </w:pPr>
    </w:p>
    <w:p w:rsidR="00FB7957" w:rsidRDefault="006B4959">
      <w:pPr>
        <w:numPr>
          <w:ilvl w:val="0"/>
          <w:numId w:val="1"/>
        </w:numPr>
        <w:spacing w:after="6pt"/>
        <w:ind w:start="17.50pt"/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Esclarecer que os arquitetos e urbanistas são profissionais regulamentados por Lei e só podem realizar as atividades técnicas que estiverem dentro de suas atribuições e dos campos de atuação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 definidos na Lei nº 12.378/2010 e nos Normativos do CAU/BR, devendo se responsabilizar tecnicamente por essas atividades por meio do Registro de Responsabilidade Técnica (RRT);</w:t>
      </w:r>
    </w:p>
    <w:p w:rsidR="00FB7957" w:rsidRDefault="006B4959">
      <w:pPr>
        <w:numPr>
          <w:ilvl w:val="0"/>
          <w:numId w:val="1"/>
        </w:numPr>
        <w:spacing w:after="6pt"/>
        <w:ind w:start="17.50pt"/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Esclarecer que os arquitetos e urbanistas não possuem atribuição para as ativi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dades relacionadas ao dimensionamento, detalhamento e execução de infraestrutura de redes públicas de abastecimento água, de tratamento de efluentes (esgoto pluvial e sanitário) e redes de drenagem pluvial urbana;</w:t>
      </w:r>
    </w:p>
    <w:p w:rsidR="00FB7957" w:rsidRDefault="006B4959">
      <w:pPr>
        <w:numPr>
          <w:ilvl w:val="0"/>
          <w:numId w:val="1"/>
        </w:numPr>
        <w:spacing w:after="6pt"/>
        <w:ind w:start="17.50pt"/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Esclarecer que as atividades técnicas cont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 xml:space="preserve">empladas nos itens 1.5 e 2.5 – INSTALAÇÕES E EQUIPAMENTOS REFERENTES À ARQUITETURA, da Resolução CAU/BR n° 21, de 2012, restringem-se a instalações prediais (das edificações), não contemplando as atividades técnicas relacionadas à rede pública de captação 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e abastecimento ou tratamento de água ou efluentes;</w:t>
      </w:r>
    </w:p>
    <w:p w:rsidR="00FB7957" w:rsidRDefault="006B4959">
      <w:pPr>
        <w:numPr>
          <w:ilvl w:val="0"/>
          <w:numId w:val="1"/>
        </w:numPr>
        <w:spacing w:after="6pt"/>
        <w:ind w:start="17.50pt"/>
        <w:jc w:val="both"/>
        <w:rPr>
          <w:rFonts w:ascii="Times New Roman" w:eastAsia="Times New Roman" w:hAnsi="Times New Roman"/>
          <w:strike/>
          <w:sz w:val="22"/>
          <w:szCs w:val="22"/>
          <w:lang w:eastAsia="pt-BR"/>
        </w:rPr>
      </w:pP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Esclarecer que a atividade capitulada no subitem 4.6.6 - Plano de Saneamento Básico Ambiental, pertencente ao subgrupo 4.4 - Planejamento Urbano do art. 3º da Resolução CAU/BR nº 21, de 2012, aplica-se, e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xclusivamente, ao âmbito do planejamento físico-territorial, não contemplando atividades técnicas de projeto, dimensionamento e execução das redes públicas de saneamento básico, incluindo o sistema de captação e abastecimento de água, bem como de seus elem</w:t>
      </w:r>
      <w:r>
        <w:rPr>
          <w:rFonts w:ascii="Times New Roman" w:eastAsia="Times New Roman" w:hAnsi="Times New Roman"/>
          <w:strike/>
          <w:sz w:val="22"/>
          <w:szCs w:val="22"/>
          <w:lang w:eastAsia="pt-BR"/>
        </w:rPr>
        <w:t>entos constituintes;</w:t>
      </w:r>
    </w:p>
    <w:p w:rsidR="00FB7957" w:rsidRDefault="006B4959">
      <w:pPr>
        <w:numPr>
          <w:ilvl w:val="0"/>
          <w:numId w:val="1"/>
        </w:numPr>
        <w:spacing w:after="6pt"/>
        <w:ind w:start="17.50pt"/>
        <w:jc w:val="both"/>
      </w:pPr>
      <w:r>
        <w:rPr>
          <w:rFonts w:ascii="Times New Roman" w:hAnsi="Times New Roman"/>
          <w:strike/>
          <w:sz w:val="22"/>
          <w:szCs w:val="22"/>
        </w:rPr>
        <w:t xml:space="preserve">Solicitar à Presidência do CAU/BR que encaminhe ofício à Presidência do CAU/SC notificando sobre a irregularidade da </w:t>
      </w:r>
      <w:r>
        <w:rPr>
          <w:rStyle w:val="fontstyle01"/>
          <w:rFonts w:ascii="Times New Roman" w:hAnsi="Times New Roman"/>
          <w:strike/>
        </w:rPr>
        <w:t xml:space="preserve">Deliberação Plenária n°90/2016 do CAU/SC, </w:t>
      </w:r>
      <w:r>
        <w:rPr>
          <w:rFonts w:ascii="Times New Roman" w:hAnsi="Times New Roman"/>
          <w:strike/>
          <w:sz w:val="22"/>
          <w:szCs w:val="22"/>
        </w:rPr>
        <w:t xml:space="preserve">seguindo os procedimentos previstos na </w:t>
      </w:r>
      <w:r>
        <w:rPr>
          <w:rFonts w:ascii="Times New Roman" w:hAnsi="Times New Roman"/>
          <w:strike/>
          <w:sz w:val="22"/>
          <w:szCs w:val="22"/>
          <w:lang w:eastAsia="pt-BR"/>
        </w:rPr>
        <w:t xml:space="preserve">Deliberação Plenária DPOBR nº </w:t>
      </w:r>
      <w:r>
        <w:rPr>
          <w:rFonts w:ascii="Times New Roman" w:hAnsi="Times New Roman"/>
          <w:strike/>
          <w:sz w:val="22"/>
          <w:szCs w:val="22"/>
          <w:lang w:eastAsia="pt-BR"/>
        </w:rPr>
        <w:t>0071-08/2017; e</w:t>
      </w:r>
    </w:p>
    <w:p w:rsidR="00FB7957" w:rsidRDefault="006B4959">
      <w:pPr>
        <w:numPr>
          <w:ilvl w:val="0"/>
          <w:numId w:val="1"/>
        </w:numPr>
        <w:spacing w:after="6pt"/>
        <w:ind w:start="17.50pt"/>
        <w:jc w:val="both"/>
      </w:pPr>
      <w:r>
        <w:rPr>
          <w:rFonts w:ascii="Times New Roman" w:hAnsi="Times New Roman"/>
          <w:strike/>
          <w:sz w:val="22"/>
          <w:szCs w:val="22"/>
          <w:lang w:eastAsia="pt-BR"/>
        </w:rPr>
        <w:t>Solicitar que a RIA realize a divulgação aos CAU/UF do teor dos itens 1 a 4 desta Deliberação.</w:t>
      </w:r>
    </w:p>
    <w:p w:rsidR="00FB7957" w:rsidRDefault="006B4959">
      <w:pPr>
        <w:jc w:val="center"/>
        <w:rPr>
          <w:rFonts w:ascii="Times New Roman" w:hAnsi="Times New Roman"/>
          <w:strike/>
          <w:sz w:val="22"/>
          <w:szCs w:val="22"/>
          <w:lang w:eastAsia="pt-BR"/>
        </w:rPr>
      </w:pPr>
      <w:r>
        <w:rPr>
          <w:rFonts w:ascii="Times New Roman" w:hAnsi="Times New Roman"/>
          <w:strike/>
          <w:sz w:val="22"/>
          <w:szCs w:val="22"/>
          <w:lang w:eastAsia="pt-BR"/>
        </w:rPr>
        <w:t>Brasília - DF, 05 de outubro de 2018.</w:t>
      </w:r>
    </w:p>
    <w:p w:rsidR="00FB7957" w:rsidRDefault="00FB795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B7957" w:rsidRDefault="00FB7957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</w:p>
    <w:p w:rsidR="00FB7957" w:rsidRDefault="006B4959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MARIA ELIANA JUBÉ RIBEIRO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FB7957" w:rsidRDefault="006B4959">
      <w:pPr>
        <w:tabs>
          <w:tab w:val="start" w:pos="232.55pt"/>
        </w:tabs>
        <w:autoSpaceDE w:val="0"/>
      </w:pPr>
      <w:r>
        <w:rPr>
          <w:rFonts w:ascii="Times New Roman" w:eastAsia="Calibri" w:hAnsi="Times New Roman"/>
          <w:sz w:val="22"/>
          <w:szCs w:val="22"/>
          <w:lang w:eastAsia="pt-BR"/>
        </w:rPr>
        <w:t>Coordenadora</w:t>
      </w:r>
      <w:r>
        <w:rPr>
          <w:rFonts w:ascii="Times New Roman" w:hAnsi="Times New Roman"/>
          <w:caps/>
          <w:spacing w:val="4"/>
          <w:sz w:val="22"/>
          <w:szCs w:val="22"/>
          <w:lang w:eastAsia="pt-BR"/>
        </w:rPr>
        <w:tab/>
      </w:r>
    </w:p>
    <w:p w:rsidR="00FB7957" w:rsidRDefault="00FB7957">
      <w:pPr>
        <w:autoSpaceDE w:val="0"/>
        <w:rPr>
          <w:rFonts w:ascii="Times New Roman" w:hAnsi="Times New Roman"/>
          <w:b/>
          <w:caps/>
          <w:spacing w:val="4"/>
          <w:sz w:val="22"/>
          <w:szCs w:val="22"/>
        </w:rPr>
      </w:pPr>
    </w:p>
    <w:p w:rsidR="00FB7957" w:rsidRDefault="006B4959">
      <w:pPr>
        <w:tabs>
          <w:tab w:val="start" w:pos="226.80pt"/>
        </w:tabs>
        <w:autoSpaceDE w:val="0"/>
      </w:pPr>
      <w:r>
        <w:rPr>
          <w:rFonts w:ascii="Times New Roman" w:hAnsi="Times New Roman"/>
          <w:b/>
          <w:sz w:val="22"/>
          <w:szCs w:val="22"/>
        </w:rPr>
        <w:t>RICARDO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b/>
          <w:sz w:val="22"/>
          <w:szCs w:val="22"/>
        </w:rPr>
        <w:t>MARTINS DA FONSECA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ab/>
        <w:t>____________________________________</w:t>
      </w:r>
    </w:p>
    <w:p w:rsidR="00FB7957" w:rsidRDefault="006B4959">
      <w:pPr>
        <w:tabs>
          <w:tab w:val="start" w:pos="232.55pt"/>
        </w:tabs>
        <w:autoSpaceDE w:val="0"/>
      </w:pPr>
      <w:r>
        <w:rPr>
          <w:rFonts w:ascii="Times New Roman" w:hAnsi="Times New Roman"/>
          <w:sz w:val="22"/>
          <w:szCs w:val="22"/>
          <w:lang w:eastAsia="pt-BR"/>
        </w:rPr>
        <w:t>Coordenador Adjunto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FB7957" w:rsidRDefault="00FB7957"/>
    <w:p w:rsidR="00FB7957" w:rsidRDefault="006B4959">
      <w:pPr>
        <w:tabs>
          <w:tab w:val="center" w:pos="226.80pt"/>
          <w:tab w:val="end" w:pos="425.20pt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FERNANDO MÁRCIO DE OLIVEIRA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____________________________________</w:t>
      </w:r>
    </w:p>
    <w:p w:rsidR="00FB7957" w:rsidRDefault="006B4959">
      <w:pPr>
        <w:tabs>
          <w:tab w:val="start" w:pos="232.55pt"/>
        </w:tabs>
      </w:pPr>
      <w:r>
        <w:rPr>
          <w:rFonts w:ascii="Times New Roman" w:hAnsi="Times New Roman"/>
          <w:sz w:val="22"/>
          <w:szCs w:val="22"/>
          <w:lang w:eastAsia="pt-BR"/>
        </w:rPr>
        <w:t>Membro</w:t>
      </w:r>
      <w:r>
        <w:rPr>
          <w:rFonts w:ascii="Times New Roman" w:eastAsia="Calibri" w:hAnsi="Times New Roman"/>
          <w:spacing w:val="-6"/>
          <w:sz w:val="22"/>
          <w:szCs w:val="22"/>
          <w:lang w:eastAsia="pt-BR"/>
        </w:rPr>
        <w:tab/>
      </w:r>
    </w:p>
    <w:p w:rsidR="00FB7957" w:rsidRDefault="00FB7957"/>
    <w:p w:rsidR="00FB7957" w:rsidRDefault="006B4959">
      <w:pPr>
        <w:tabs>
          <w:tab w:val="center" w:pos="226.80pt"/>
          <w:tab w:val="end" w:pos="425.20pt"/>
        </w:tabs>
      </w:pPr>
      <w:r>
        <w:rPr>
          <w:rFonts w:ascii="Times New Roman" w:eastAsia="Calibri" w:hAnsi="Times New Roman"/>
          <w:b/>
          <w:sz w:val="22"/>
          <w:szCs w:val="22"/>
        </w:rPr>
        <w:t>TÂNIA MARIA MARINHO GUSMÃO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FB7957" w:rsidRDefault="006B4959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p w:rsidR="00FB7957" w:rsidRDefault="00FB7957"/>
    <w:p w:rsidR="00FB7957" w:rsidRDefault="006B4959">
      <w:pPr>
        <w:tabs>
          <w:tab w:val="center" w:pos="226.80pt"/>
          <w:tab w:val="end" w:pos="425.20pt"/>
        </w:tabs>
      </w:pPr>
      <w:r>
        <w:rPr>
          <w:rFonts w:ascii="Times New Roman" w:hAnsi="Times New Roman"/>
          <w:b/>
          <w:sz w:val="22"/>
          <w:szCs w:val="22"/>
        </w:rPr>
        <w:t>WERNER DEIMLING ALBUQUERQUE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_</w:t>
      </w:r>
      <w:r>
        <w:rPr>
          <w:rFonts w:ascii="Times New Roman" w:eastAsia="Calibri" w:hAnsi="Times New Roman"/>
          <w:b/>
          <w:sz w:val="22"/>
          <w:szCs w:val="22"/>
          <w:lang w:eastAsia="pt-BR"/>
        </w:rPr>
        <w:t>___________________________________</w:t>
      </w:r>
    </w:p>
    <w:p w:rsidR="00FB7957" w:rsidRDefault="006B4959">
      <w:pPr>
        <w:jc w:val="both"/>
      </w:pPr>
      <w:r>
        <w:rPr>
          <w:rFonts w:ascii="Times New Roman" w:hAnsi="Times New Roman"/>
          <w:sz w:val="22"/>
          <w:szCs w:val="22"/>
          <w:lang w:eastAsia="pt-BR"/>
        </w:rPr>
        <w:t>Membro</w:t>
      </w:r>
    </w:p>
    <w:sectPr w:rsidR="00FB7957">
      <w:headerReference w:type="default" r:id="rId7"/>
      <w:footerReference w:type="default" r:id="rId8"/>
      <w:pgSz w:w="595pt" w:h="842pt"/>
      <w:pgMar w:top="99.25pt" w:right="56.40pt" w:bottom="77.95pt" w:left="77.95pt" w:header="66.35pt" w:footer="29.20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6B4959">
      <w:r>
        <w:separator/>
      </w:r>
    </w:p>
  </w:endnote>
  <w:endnote w:type="continuationSeparator" w:id="0">
    <w:p w:rsidR="00000000" w:rsidRDefault="006B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MT">
    <w:charset w:characterSet="iso-8859-1"/>
    <w:family w:val="roman"/>
    <w:pitch w:val="default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E7E63" w:rsidRDefault="006B4959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6553779</wp:posOffset>
          </wp:positionH>
          <wp:positionV relativeFrom="paragraph">
            <wp:posOffset>-196778</wp:posOffset>
          </wp:positionV>
          <wp:extent cx="676271" cy="229230"/>
          <wp:effectExtent l="0" t="0" r="9529" b="18420"/>
          <wp:wrapSquare wrapText="bothSides"/>
          <wp:docPr id="2" name="Caixa de Texto 2"/>
          <wp:cNvGraphicFramePr/>
          <a:graphic xmlns:a="http://purl.oclc.org/ooxml/drawingml/main">
            <a:graphicData uri="http://schemas.microsoft.com/office/word/2010/wordprocessingShape">
              <wp:wsp>
                <wp:cNvSpPr txBox="1"/>
                <wp:spPr>
                  <a:xfrm>
                    <a:off x="0" y="0"/>
                    <a:ext cx="676271" cy="229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wp:spPr>
                <wp:txbx>
                  <wne:txbxContent>
                    <w:p w:rsidR="009E7E63" w:rsidRDefault="006B4959">
                      <w:pPr>
                        <w:pStyle w:val="Rodap"/>
                        <w:jc w:val="end"/>
                      </w:pP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begin"/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instrText xml:space="preserve"> PAGE </w:instrTex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separate"/>
                      </w:r>
                      <w:r>
                        <w:rPr>
                          <w:rStyle w:val="Nmerodepgina"/>
                          <w:rFonts w:ascii="Arial" w:hAnsi="Arial"/>
                          <w:noProof/>
                          <w:color w:val="296D7A"/>
                          <w:sz w:val="18"/>
                        </w:rPr>
                        <w:t>2</w:t>
                      </w:r>
                      <w:r>
                        <w:rPr>
                          <w:rStyle w:val="Nmerodepgina"/>
                          <w:rFonts w:ascii="Arial" w:hAnsi="Arial"/>
                          <w:color w:val="296D7A"/>
                          <w:sz w:val="18"/>
                        </w:rPr>
                        <w:fldChar w:fldCharType="end"/>
                      </w:r>
                    </w:p>
                  </wne:txbxContent>
                </wp:txbx>
                <wp:bodyPr vert="horz" wrap="square" lIns="0" tIns="0" rIns="0" bIns="0" anchor="t" anchorCtr="0" compatLnSpc="0">
                  <a:noAutofit/>
                </wp:bodyPr>
              </wp:wsp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46" descr="CAU-BR-timbrado2015--rodape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6B4959">
      <w:r>
        <w:rPr>
          <w:color w:val="000000"/>
        </w:rPr>
        <w:separator/>
      </w:r>
    </w:p>
  </w:footnote>
  <w:footnote w:type="continuationSeparator" w:id="0">
    <w:p w:rsidR="00000000" w:rsidRDefault="006B4959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E7E63" w:rsidRDefault="006B4959">
    <w:pPr>
      <w:pStyle w:val="Cabealho"/>
      <w:tabs>
        <w:tab w:val="clear" w:pos="216pt"/>
        <w:tab w:val="start" w:pos="144pt"/>
        <w:tab w:val="start" w:pos="306pt"/>
      </w:tabs>
      <w:ind w:start="29.35pt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-985522</wp:posOffset>
          </wp:positionH>
          <wp:positionV relativeFrom="paragraph">
            <wp:posOffset>-849633</wp:posOffset>
          </wp:positionV>
          <wp:extent cx="7539356" cy="1075050"/>
          <wp:effectExtent l="0" t="0" r="4444" b="0"/>
          <wp:wrapNone/>
          <wp:docPr id="1" name="Imagem 47" descr="CAU-BR-timbrado2015-edit-16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356" cy="1075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7C40E51"/>
    <w:multiLevelType w:val="multilevel"/>
    <w:tmpl w:val="BE6E26F4"/>
    <w:lvl w:ilvl="0">
      <w:start w:val="1"/>
      <w:numFmt w:val="decimal"/>
      <w:lvlText w:val="%1-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B7957"/>
    <w:rsid w:val="006B4959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0930B78-25AF-406E-94A7-F3F892780A5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pPr>
      <w:ind w:start="35.40pt"/>
    </w:pPr>
  </w:style>
  <w:style w:type="paragraph" w:styleId="Recuodecorpodetexto">
    <w:name w:val="Body Text Indent"/>
    <w:basedOn w:val="Normal"/>
    <w:pPr>
      <w:ind w:firstLine="85.05pt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sz w:val="22"/>
    </w:rPr>
  </w:style>
  <w:style w:type="character" w:customStyle="1" w:styleId="fontstyle01">
    <w:name w:val="fontstyle01"/>
    <w:rPr>
      <w:rFonts w:ascii="ArialMT" w:hAnsi="Arial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Pr>
      <w:rFonts w:ascii="Cambria" w:hAnsi="Cambria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pPr>
      <w:suppressAutoHyphens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1150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Pedro Martins Silva</cp:lastModifiedBy>
  <cp:revision>2</cp:revision>
  <cp:lastPrinted>2022-07-06T17:05:00Z</cp:lastPrinted>
  <dcterms:created xsi:type="dcterms:W3CDTF">2022-07-06T17:30:00Z</dcterms:created>
  <dcterms:modified xsi:type="dcterms:W3CDTF">2022-07-06T17:30:00Z</dcterms:modified>
</cp:coreProperties>
</file>