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62.1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68"/>
      </w:tblGrid>
      <w:tr w:rsidR="00547A0F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47A0F" w:rsidRDefault="003C5E9B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47A0F" w:rsidRDefault="003C5E9B">
            <w:pPr>
              <w:widowControl w:val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Protocolo SICCAU nº 672925/2018 – CAU/SC encaminha consulta ao CAU/BR sobre a atribuição dos arquitetos e urbanistas para atividades relacionadas a “enrocamento,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macrodrenagem, dragagem e desassoreamento de rios”.</w:t>
            </w:r>
          </w:p>
        </w:tc>
      </w:tr>
      <w:tr w:rsidR="00547A0F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47A0F" w:rsidRDefault="003C5E9B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47A0F" w:rsidRDefault="003C5E9B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547A0F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47A0F" w:rsidRDefault="003C5E9B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47A0F" w:rsidRDefault="003C5E9B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Ordem do dia nº 12 da 76ª Reunião Ordinária da CEP-CAU/BR: apreciar a Deliberação da Comissão de Ensino e Formação (CEF-CAU/BR) com o relatório e voto do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relator da matéria, e deliberar </w:t>
            </w:r>
          </w:p>
        </w:tc>
      </w:tr>
    </w:tbl>
    <w:p w:rsidR="00547A0F" w:rsidRDefault="003C5E9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085/2018 – (CEP-CAU/BR)</w:t>
      </w:r>
    </w:p>
    <w:p w:rsidR="00547A0F" w:rsidRDefault="00547A0F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47A0F" w:rsidRDefault="003C5E9B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>, reunida ordinariamente em Brasília-DF, na sede do CAU/BR, nos dias 04 e 05 de outubro de 2018, no uso das competências que lhe co</w:t>
      </w:r>
      <w:r>
        <w:rPr>
          <w:rFonts w:ascii="Times New Roman" w:hAnsi="Times New Roman"/>
          <w:strike/>
          <w:sz w:val="22"/>
          <w:szCs w:val="22"/>
          <w:lang w:eastAsia="pt-BR"/>
        </w:rPr>
        <w:t>nferem o art. 97, 101 e 102 do Regimento Interno do CAU/BR, após análise do assunto em epígrafe, e</w:t>
      </w:r>
    </w:p>
    <w:p w:rsidR="00547A0F" w:rsidRDefault="00547A0F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47A0F" w:rsidRDefault="003C5E9B">
      <w:pPr>
        <w:pStyle w:val="Recuodecorpodetexto"/>
        <w:ind w:firstLine="0pt"/>
      </w:pPr>
      <w:r>
        <w:rPr>
          <w:strike/>
          <w:szCs w:val="22"/>
        </w:rPr>
        <w:t xml:space="preserve">Considerando o Ofício </w:t>
      </w:r>
      <w:r>
        <w:rPr>
          <w:rStyle w:val="fontstyle01"/>
          <w:strike/>
        </w:rPr>
        <w:t>084/2018/PRES/CAUSC</w:t>
      </w:r>
      <w:r>
        <w:rPr>
          <w:strike/>
        </w:rPr>
        <w:t xml:space="preserve"> que encaminha a Deliberação nº 10/2018 da CEP-CAU/SC e </w:t>
      </w:r>
      <w:r>
        <w:rPr>
          <w:strike/>
          <w:szCs w:val="22"/>
        </w:rPr>
        <w:t xml:space="preserve">solicita a manifestação do CAU/BR quanto à </w:t>
      </w:r>
      <w:r>
        <w:rPr>
          <w:rStyle w:val="fontstyle01"/>
          <w:strike/>
        </w:rPr>
        <w:t xml:space="preserve">atribuição dos </w:t>
      </w:r>
      <w:r>
        <w:rPr>
          <w:rStyle w:val="fontstyle01"/>
          <w:strike/>
        </w:rPr>
        <w:t>arquitetos e urbanistas para as atividades de:</w:t>
      </w:r>
    </w:p>
    <w:p w:rsidR="00547A0F" w:rsidRDefault="003C5E9B">
      <w:pPr>
        <w:pStyle w:val="Recuodecorpodetexto"/>
        <w:ind w:firstLine="0pt"/>
      </w:pPr>
      <w:r>
        <w:rPr>
          <w:rStyle w:val="fontstyle01"/>
          <w:strike/>
        </w:rPr>
        <w:t>- projeto e execução de “enrocamento”, e se essas atividades poderão ser registradas no RRT utilizando as atividades técnicas “1.2.6. Projeto de outras estruturas” e “2.2.6. Execução de outras estruturas” da R</w:t>
      </w:r>
      <w:r>
        <w:rPr>
          <w:rStyle w:val="fontstyle01"/>
          <w:strike/>
        </w:rPr>
        <w:t>esolução CAU/BR nº 21, de 2012, pertencentes aos grupos 1 e 2 - Projeto e Execução e aos subgrupos 1.2 e 2.2, de Sistemas Construtivos e Estruturais, respectivamente; e</w:t>
      </w:r>
    </w:p>
    <w:p w:rsidR="00547A0F" w:rsidRDefault="003C5E9B">
      <w:pPr>
        <w:pStyle w:val="Recuodecorpodetexto"/>
        <w:ind w:firstLine="0pt"/>
      </w:pPr>
      <w:r>
        <w:rPr>
          <w:rStyle w:val="fontstyle01"/>
          <w:strike/>
        </w:rPr>
        <w:t xml:space="preserve">- projeto e execução de “macrodrenagem, dragagem e desassoreamento de rio”, e se essas </w:t>
      </w:r>
      <w:r>
        <w:rPr>
          <w:rStyle w:val="fontstyle01"/>
          <w:strike/>
        </w:rPr>
        <w:t>atividades poderão ser registradas no RRT utilizando as atividades técnicas “1.9.1. Projeto de movimentação de terra, drenagem e pavimentação” e “2.8.1. Execução de terraplenagem, drenagem e</w:t>
      </w:r>
      <w:r>
        <w:rPr>
          <w:rFonts w:ascii="ArialMT" w:hAnsi="ArialMT"/>
          <w:strike/>
          <w:color w:val="000000"/>
          <w:szCs w:val="22"/>
        </w:rPr>
        <w:t xml:space="preserve"> </w:t>
      </w:r>
      <w:r>
        <w:rPr>
          <w:rStyle w:val="fontstyle01"/>
          <w:strike/>
        </w:rPr>
        <w:t>pavimentação” da Resolução nº 21 do CAU/BR, pertencentes aos grup</w:t>
      </w:r>
      <w:r>
        <w:rPr>
          <w:rStyle w:val="fontstyle01"/>
          <w:strike/>
        </w:rPr>
        <w:t>os 1 e 2 - Projeto e Execução e aos subgrupos 1.9 e 2.8, de “Instalações e Equipamentos Referentes ao Urbanismo” respectivamente.</w:t>
      </w:r>
    </w:p>
    <w:p w:rsidR="00547A0F" w:rsidRDefault="00547A0F">
      <w:pPr>
        <w:pStyle w:val="Recuodecorpodetexto"/>
        <w:ind w:firstLine="0pt"/>
        <w:rPr>
          <w:strike/>
          <w:szCs w:val="22"/>
        </w:rPr>
      </w:pPr>
    </w:p>
    <w:p w:rsidR="00547A0F" w:rsidRDefault="003C5E9B">
      <w:pPr>
        <w:pStyle w:val="Recuodecorpodetexto"/>
        <w:ind w:firstLine="0pt"/>
      </w:pPr>
      <w:r>
        <w:rPr>
          <w:strike/>
          <w:szCs w:val="22"/>
        </w:rPr>
        <w:t>Considerando a Lei nº 12.378, de 31 de dezembro de 2010, que dispõe em seu art. 3º que “</w:t>
      </w:r>
      <w:r>
        <w:rPr>
          <w:i/>
          <w:strike/>
          <w:szCs w:val="22"/>
        </w:rPr>
        <w:t>Os campos da atuação profissional par</w:t>
      </w:r>
      <w:r>
        <w:rPr>
          <w:i/>
          <w:strike/>
          <w:szCs w:val="22"/>
        </w:rPr>
        <w:t>a o exercício da arquitetura e urbanismo são definidos a partir das diretrizes curriculares nacionais que dispõem sobre a formação do profissional arquiteto e urbanista nas quais os núcleos de conhecimentos de fundamentação e de conhecimentos profissionais</w:t>
      </w:r>
      <w:r>
        <w:rPr>
          <w:i/>
          <w:strike/>
          <w:szCs w:val="22"/>
        </w:rPr>
        <w:t xml:space="preserve"> caracterizam a unidade de atuação profissional."; </w:t>
      </w:r>
    </w:p>
    <w:p w:rsidR="00547A0F" w:rsidRDefault="00547A0F">
      <w:pPr>
        <w:pStyle w:val="Recuodecorpodetexto"/>
        <w:ind w:firstLine="0pt"/>
        <w:rPr>
          <w:strike/>
          <w:szCs w:val="22"/>
        </w:rPr>
      </w:pPr>
    </w:p>
    <w:p w:rsidR="00547A0F" w:rsidRDefault="003C5E9B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 xml:space="preserve">Considerando o disposto na Resolução CAU/BR nº 21, de 5 de abril de 2012, em que se encontram detalhadas as atividades, atribuições e campos de atuação do arquiteto e urbanista, regulamentados pelo art. </w:t>
      </w:r>
      <w:r>
        <w:rPr>
          <w:strike/>
          <w:szCs w:val="22"/>
        </w:rPr>
        <w:t>2º da Lei nº 12.378, de 2010;</w:t>
      </w:r>
    </w:p>
    <w:p w:rsidR="00547A0F" w:rsidRDefault="00547A0F">
      <w:pPr>
        <w:pStyle w:val="Recuodecorpodetexto"/>
        <w:ind w:firstLine="0pt"/>
        <w:rPr>
          <w:strike/>
          <w:szCs w:val="22"/>
        </w:rPr>
      </w:pPr>
    </w:p>
    <w:p w:rsidR="00547A0F" w:rsidRDefault="003C5E9B">
      <w:pPr>
        <w:pStyle w:val="Recuodecorpodetexto"/>
        <w:ind w:firstLine="0pt"/>
      </w:pPr>
      <w:r>
        <w:rPr>
          <w:strike/>
          <w:szCs w:val="22"/>
        </w:rPr>
        <w:t xml:space="preserve">Considerando a Portaria Normativa CAU/BR nº 12, de 2013, que dispõe sobre a caracterização das atividades técnicas contempladas nos </w:t>
      </w:r>
      <w:r>
        <w:rPr>
          <w:rStyle w:val="fontstyle01"/>
          <w:strike/>
        </w:rPr>
        <w:t xml:space="preserve">subgrupos 1.2 e 2.2, da Resolução CAU/BR nº 21, de 2012, que trata de “Sistemas Construtivos </w:t>
      </w:r>
      <w:r>
        <w:rPr>
          <w:rStyle w:val="fontstyle01"/>
          <w:strike/>
        </w:rPr>
        <w:t>e Estruturais”, sendo essas atividades relacionadas à Arquitetura das Edificações;</w:t>
      </w:r>
    </w:p>
    <w:p w:rsidR="00547A0F" w:rsidRDefault="00547A0F">
      <w:pPr>
        <w:pStyle w:val="Recuodecorpodetexto"/>
        <w:ind w:firstLine="0pt"/>
        <w:rPr>
          <w:strike/>
          <w:szCs w:val="22"/>
        </w:rPr>
      </w:pPr>
    </w:p>
    <w:p w:rsidR="00547A0F" w:rsidRDefault="003C5E9B">
      <w:pPr>
        <w:pStyle w:val="Recuodecorpodetexto"/>
        <w:ind w:firstLine="0pt"/>
      </w:pPr>
      <w:r>
        <w:rPr>
          <w:strike/>
          <w:szCs w:val="22"/>
        </w:rPr>
        <w:t>Considerando as Deliberações da CEP-CAU/BR nº 08/2014, nº 46/2015, nº 19/2017, nº 22/2017, nº 25/2017, nº 110/2017 e nº 70/2018, as Orientações Técnicas nº 13/2012 e nº 18/</w:t>
      </w:r>
      <w:r>
        <w:rPr>
          <w:strike/>
          <w:szCs w:val="22"/>
        </w:rPr>
        <w:t xml:space="preserve">2013 da CEP-CAU/BR e o Ofício CAU/BR nº 550/2014 e Memorando nº 12/2014 da CEP-CAU/BR que dispõem sobre atividades que </w:t>
      </w:r>
      <w:r>
        <w:rPr>
          <w:b/>
          <w:strike/>
          <w:szCs w:val="22"/>
        </w:rPr>
        <w:t xml:space="preserve">não </w:t>
      </w:r>
      <w:r>
        <w:rPr>
          <w:strike/>
          <w:szCs w:val="22"/>
        </w:rPr>
        <w:t>são da atribuição dos arquitetos e urbanistas em temas correlatos e relacionados a esta demanda;</w:t>
      </w:r>
    </w:p>
    <w:p w:rsidR="00547A0F" w:rsidRDefault="00547A0F">
      <w:pPr>
        <w:pStyle w:val="Recuodecorpodetexto"/>
        <w:ind w:firstLine="0pt"/>
        <w:rPr>
          <w:strike/>
          <w:szCs w:val="22"/>
        </w:rPr>
      </w:pPr>
    </w:p>
    <w:p w:rsidR="00547A0F" w:rsidRDefault="003C5E9B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>Considerando a Deliberação nº 78/20</w:t>
      </w:r>
      <w:r>
        <w:rPr>
          <w:strike/>
          <w:szCs w:val="22"/>
        </w:rPr>
        <w:t>18 da CEF-CAU/BR, que aprova o relatório e voto do relator da matéria no âmbito da Comissão de Ensino e Formação do CAU/BR, conselheiro Juliano Pamplona Ximenes Pontes, com a seguinte conclusão e entendimento:</w:t>
      </w:r>
    </w:p>
    <w:p w:rsidR="00547A0F" w:rsidRDefault="003C5E9B">
      <w:pPr>
        <w:pStyle w:val="Recuodecorpodetexto"/>
        <w:ind w:firstLine="0pt"/>
      </w:pPr>
      <w:r>
        <w:rPr>
          <w:strike/>
          <w:noProof/>
        </w:rPr>
        <w:lastRenderedPageBreak/>
        <w:drawing>
          <wp:inline distT="0" distB="0" distL="0" distR="0">
            <wp:extent cx="6286500" cy="1104896"/>
            <wp:effectExtent l="0" t="0" r="0" b="4"/>
            <wp:docPr id="4" name="Imagem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104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7A0F" w:rsidRDefault="00547A0F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547A0F" w:rsidRDefault="003C5E9B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Considerando que os Registros de Responsabi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lidades Técnicas (RRT) não podem ser constituídos por atividades técnicas que </w:t>
      </w:r>
      <w:r>
        <w:rPr>
          <w:rFonts w:ascii="Times New Roman" w:eastAsia="Times New Roman" w:hAnsi="Times New Roman"/>
          <w:b/>
          <w:strike/>
          <w:sz w:val="22"/>
          <w:szCs w:val="22"/>
          <w:lang w:eastAsia="pt-BR"/>
        </w:rPr>
        <w:t>não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 são da responsabilidade, atribuição e campo de atuação do arquiteto e urbanista e do exercício profissional da Arquitetura e Urbanismo.</w:t>
      </w:r>
    </w:p>
    <w:p w:rsidR="00547A0F" w:rsidRDefault="00547A0F">
      <w:pPr>
        <w:pStyle w:val="Recuodecorpodetexto"/>
        <w:ind w:firstLine="0pt"/>
        <w:rPr>
          <w:rFonts w:eastAsia="Cambria"/>
          <w:b/>
          <w:strike/>
          <w:szCs w:val="22"/>
        </w:rPr>
      </w:pPr>
    </w:p>
    <w:p w:rsidR="00547A0F" w:rsidRDefault="003C5E9B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 Deliberação Plenária D</w:t>
      </w:r>
      <w:r>
        <w:rPr>
          <w:rFonts w:ascii="Times New Roman" w:hAnsi="Times New Roman"/>
          <w:strike/>
          <w:sz w:val="22"/>
          <w:szCs w:val="22"/>
          <w:lang w:eastAsia="pt-BR"/>
        </w:rPr>
        <w:t>POBR nº 0071-08/2017, que dispõe sobre as ações do CAU/BR junto aos CAU/UF quando estes editarem atos em conflito com a Lei 12.378/2010, Regimento Geral do CAU e Normativos do CAU/BR.</w:t>
      </w:r>
    </w:p>
    <w:p w:rsidR="00547A0F" w:rsidRDefault="00547A0F">
      <w:pPr>
        <w:pStyle w:val="Recuodecorpodetexto"/>
        <w:ind w:firstLine="0pt"/>
        <w:rPr>
          <w:rFonts w:eastAsia="Cambria"/>
          <w:b/>
          <w:strike/>
          <w:szCs w:val="22"/>
        </w:rPr>
      </w:pPr>
    </w:p>
    <w:p w:rsidR="00547A0F" w:rsidRDefault="003C5E9B">
      <w:pPr>
        <w:pStyle w:val="Recuodecorpodetexto"/>
        <w:ind w:firstLine="0pt"/>
      </w:pPr>
      <w:r>
        <w:rPr>
          <w:rFonts w:eastAsia="Cambria"/>
          <w:b/>
          <w:strike/>
          <w:szCs w:val="22"/>
        </w:rPr>
        <w:t>DELIBERA</w:t>
      </w:r>
      <w:r>
        <w:rPr>
          <w:b/>
          <w:strike/>
          <w:szCs w:val="22"/>
        </w:rPr>
        <w:t>:</w:t>
      </w:r>
    </w:p>
    <w:p w:rsidR="00547A0F" w:rsidRDefault="00547A0F">
      <w:pPr>
        <w:jc w:val="both"/>
        <w:rPr>
          <w:rFonts w:ascii="Times New Roman" w:eastAsia="Calibri" w:hAnsi="Times New Roman"/>
          <w:strike/>
          <w:sz w:val="22"/>
          <w:szCs w:val="22"/>
        </w:rPr>
      </w:pPr>
    </w:p>
    <w:p w:rsidR="00547A0F" w:rsidRDefault="003C5E9B">
      <w:pPr>
        <w:pStyle w:val="Recuodecorpodetexto"/>
        <w:spacing w:after="6pt"/>
        <w:ind w:firstLine="0pt"/>
      </w:pPr>
      <w:r>
        <w:rPr>
          <w:rFonts w:eastAsia="Calibri"/>
          <w:strike/>
          <w:szCs w:val="22"/>
        </w:rPr>
        <w:t>1 – Informar que as atividades relacionadas à “</w:t>
      </w:r>
      <w:r>
        <w:rPr>
          <w:strike/>
          <w:szCs w:val="22"/>
        </w:rPr>
        <w:t xml:space="preserve">enrocamento, </w:t>
      </w:r>
      <w:r>
        <w:rPr>
          <w:strike/>
          <w:szCs w:val="22"/>
        </w:rPr>
        <w:t>macrodrenagem, dragagem e desassoreamento de rios” não são da atribuição e campo de atuação dos arquitetos e urbanistas e, portanto, não podem constar em Registros de Responsabilidade Técnica (RRT) efetuados nos CAU/UF por meio do SICCAU;</w:t>
      </w:r>
    </w:p>
    <w:p w:rsidR="00547A0F" w:rsidRDefault="003C5E9B">
      <w:pPr>
        <w:pStyle w:val="Recuodecorpodetexto"/>
        <w:spacing w:after="6pt"/>
        <w:ind w:firstLine="0pt"/>
      </w:pPr>
      <w:r>
        <w:rPr>
          <w:rFonts w:eastAsia="Calibri"/>
          <w:strike/>
          <w:szCs w:val="22"/>
        </w:rPr>
        <w:t>2 – Manifestar qu</w:t>
      </w:r>
      <w:r>
        <w:rPr>
          <w:rFonts w:eastAsia="Calibri"/>
          <w:strike/>
          <w:szCs w:val="22"/>
        </w:rPr>
        <w:t xml:space="preserve">e </w:t>
      </w:r>
      <w:r>
        <w:rPr>
          <w:strike/>
          <w:szCs w:val="22"/>
        </w:rPr>
        <w:t xml:space="preserve">o ato deliberativo expedito pela Comissão de Exercício Profissional do CAU/SC, Deliberação nº 10/2018-CEP-CAU/SC, extrapola as competências estabelecidas na Lei nº 12.378, de 2010, descumpre o Regimento Geral do CAU e entra em conflito com os Normativos </w:t>
      </w:r>
      <w:r>
        <w:rPr>
          <w:strike/>
          <w:szCs w:val="22"/>
        </w:rPr>
        <w:t>do CAU/BR, conforme disposto nos “Considerandos” acima;</w:t>
      </w:r>
    </w:p>
    <w:p w:rsidR="00547A0F" w:rsidRDefault="003C5E9B">
      <w:pPr>
        <w:pStyle w:val="Recuodecorpodetexto"/>
        <w:spacing w:after="6pt"/>
        <w:ind w:firstLine="0pt"/>
        <w:rPr>
          <w:strike/>
          <w:szCs w:val="22"/>
        </w:rPr>
      </w:pPr>
      <w:r>
        <w:rPr>
          <w:strike/>
          <w:szCs w:val="22"/>
        </w:rPr>
        <w:t xml:space="preserve">3 – Solicitar que a Presidência do CAU/BR oficie a Presidência do CAU/SC notificando sobre a irregularidade da Deliberação nº 10/2018 da CEP-CAU/SC, seguindo os procedimentos previstos na Deliberação </w:t>
      </w:r>
      <w:r>
        <w:rPr>
          <w:strike/>
          <w:szCs w:val="22"/>
        </w:rPr>
        <w:t>Plenária do CAU/BR DPOBR nº 0071-08/2017; e</w:t>
      </w:r>
    </w:p>
    <w:p w:rsidR="00547A0F" w:rsidRDefault="003C5E9B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4 – </w:t>
      </w:r>
      <w:r>
        <w:rPr>
          <w:rFonts w:ascii="Times New Roman" w:eastAsia="Calibri" w:hAnsi="Times New Roman"/>
          <w:strike/>
          <w:sz w:val="22"/>
          <w:szCs w:val="22"/>
        </w:rPr>
        <w:t>Solicitar que a RIA comunique a todos CAU/UF sobre o teor do item 1 desta Deliberação.</w:t>
      </w:r>
    </w:p>
    <w:p w:rsidR="00547A0F" w:rsidRDefault="00547A0F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47A0F" w:rsidRDefault="003C5E9B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04 de outubro de 2018.</w:t>
      </w:r>
    </w:p>
    <w:p w:rsidR="00547A0F" w:rsidRDefault="00547A0F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47A0F" w:rsidRDefault="003C5E9B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547A0F" w:rsidRDefault="003C5E9B">
      <w:pPr>
        <w:tabs>
          <w:tab w:val="start" w:pos="232.55pt"/>
        </w:tabs>
        <w:autoSpaceDE w:val="0"/>
        <w:spacing w:after="5pt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547A0F" w:rsidRDefault="003C5E9B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547A0F" w:rsidRDefault="003C5E9B">
      <w:pPr>
        <w:tabs>
          <w:tab w:val="start" w:pos="232.55pt"/>
        </w:tabs>
        <w:autoSpaceDE w:val="0"/>
        <w:spacing w:after="5pt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547A0F" w:rsidRDefault="003C5E9B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547A0F" w:rsidRDefault="003C5E9B">
      <w:pPr>
        <w:tabs>
          <w:tab w:val="start" w:pos="232.55pt"/>
        </w:tabs>
        <w:autoSpaceDE w:val="0"/>
        <w:spacing w:after="5pt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547A0F" w:rsidRDefault="003C5E9B">
      <w:pPr>
        <w:tabs>
          <w:tab w:val="center" w:pos="226.8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547A0F" w:rsidRDefault="003C5E9B">
      <w:pPr>
        <w:tabs>
          <w:tab w:val="start" w:pos="232.55pt"/>
        </w:tabs>
        <w:autoSpaceDE w:val="0"/>
        <w:spacing w:after="5pt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547A0F" w:rsidRDefault="003C5E9B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</w:t>
      </w:r>
      <w:r>
        <w:rPr>
          <w:rFonts w:ascii="Times New Roman" w:hAnsi="Times New Roman"/>
          <w:b/>
          <w:sz w:val="22"/>
          <w:szCs w:val="22"/>
        </w:rPr>
        <w:t>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547A0F" w:rsidRDefault="003C5E9B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547A0F">
      <w:headerReference w:type="default" r:id="rId7"/>
      <w:footerReference w:type="default" r:id="rId8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3C5E9B">
      <w:r>
        <w:separator/>
      </w:r>
    </w:p>
  </w:endnote>
  <w:endnote w:type="continuationSeparator" w:id="0">
    <w:p w:rsidR="00000000" w:rsidRDefault="003C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characterSet="iso-8859-1"/>
    <w:family w:val="roman"/>
    <w:pitch w:val="default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554E" w:rsidRDefault="003C5E9B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76554E" w:rsidRDefault="003C5E9B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3C5E9B">
      <w:r>
        <w:rPr>
          <w:color w:val="000000"/>
        </w:rPr>
        <w:separator/>
      </w:r>
    </w:p>
  </w:footnote>
  <w:footnote w:type="continuationSeparator" w:id="0">
    <w:p w:rsidR="00000000" w:rsidRDefault="003C5E9B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6554E" w:rsidRDefault="003C5E9B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7A0F"/>
    <w:rsid w:val="003C5E9B"/>
    <w:rsid w:val="0054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35D568-575D-4F78-A1E1-404F705868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  <w:style w:type="character" w:customStyle="1" w:styleId="fontstyle01">
    <w:name w:val="fontstyle01"/>
    <w:rPr>
      <w:rFonts w:ascii="ArialMT" w:hAnsi="Aria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Cambria" w:hAnsi="Cambria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2022-07-06T17:06:00Z</cp:lastPrinted>
  <dcterms:created xsi:type="dcterms:W3CDTF">2022-07-06T17:30:00Z</dcterms:created>
  <dcterms:modified xsi:type="dcterms:W3CDTF">2022-07-06T17:30:00Z</dcterms:modified>
</cp:coreProperties>
</file>