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tbl>
      <w:tblPr>
        <w:tblW w:w="459.50pt" w:type="dxa"/>
        <w:jc w:val="center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974"/>
        <w:gridCol w:w="7216"/>
      </w:tblGrid>
      <w:tr w:rsidR="0079265E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widowControl w:val="0"/>
              <w:jc w:val="both"/>
              <w:rPr>
                <w:rFonts w:ascii="Times New Roman" w:hAnsi="Times New Roman"/>
                <w:strike/>
                <w:sz w:val="22"/>
                <w:szCs w:val="22"/>
              </w:rPr>
            </w:pPr>
            <w:r>
              <w:rPr>
                <w:rFonts w:ascii="Times New Roman" w:hAnsi="Times New Roman"/>
                <w:strike/>
                <w:sz w:val="22"/>
                <w:szCs w:val="22"/>
              </w:rPr>
              <w:t xml:space="preserve">Protocolo nº 869257 -  CAU/ES solicita esclarecimento sobre a atribuição do arquiteto e urbanista para atividades de “instalações de bomba sêxtupla e de descargas a distância </w:t>
            </w:r>
            <w:r>
              <w:rPr>
                <w:rFonts w:ascii="Times New Roman" w:hAnsi="Times New Roman"/>
                <w:strike/>
                <w:sz w:val="22"/>
                <w:szCs w:val="22"/>
              </w:rPr>
              <w:t>para postos de combustíveis”, descritas em Atestado para aprovação de CAT-A</w:t>
            </w:r>
          </w:p>
        </w:tc>
      </w:tr>
      <w:tr w:rsidR="0079265E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widowControl w:val="0"/>
            </w:pPr>
            <w:r>
              <w:rPr>
                <w:rFonts w:ascii="Times New Roman" w:hAnsi="Times New Roman"/>
                <w:bCs/>
                <w:strike/>
                <w:sz w:val="22"/>
                <w:szCs w:val="22"/>
              </w:rPr>
              <w:t>Presidência do CAU/BR</w:t>
            </w:r>
          </w:p>
        </w:tc>
      </w:tr>
      <w:tr w:rsidR="0079265E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98.7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trike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60.8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79265E" w:rsidRDefault="00776835">
            <w:pPr>
              <w:widowControl w:val="0"/>
            </w:pPr>
            <w:r>
              <w:rPr>
                <w:rFonts w:ascii="Times New Roman" w:hAnsi="Times New Roman"/>
                <w:strike/>
                <w:sz w:val="22"/>
                <w:szCs w:val="22"/>
              </w:rPr>
              <w:t>Ordem do dia nº 07 da 86ª Reunião Ordinária da CEP-CAU/BR: para apreciação e manifestação da Comissão</w:t>
            </w:r>
          </w:p>
        </w:tc>
      </w:tr>
    </w:tbl>
    <w:p w:rsidR="0079265E" w:rsidRDefault="00776835">
      <w:pPr>
        <w:pBdr>
          <w:top w:val="single" w:sz="8" w:space="1" w:color="7F7F7F"/>
          <w:bottom w:val="single" w:sz="8" w:space="1" w:color="7F7F7F"/>
        </w:pBdr>
        <w:shd w:val="clear" w:color="auto" w:fill="F2F2F2"/>
        <w:jc w:val="center"/>
      </w:pPr>
      <w:r>
        <w:rPr>
          <w:rFonts w:ascii="Times New Roman" w:hAnsi="Times New Roman"/>
          <w:b/>
          <w:smallCaps/>
          <w:strike/>
          <w:sz w:val="22"/>
          <w:szCs w:val="22"/>
          <w:lang w:eastAsia="pt-BR"/>
        </w:rPr>
        <w:t xml:space="preserve">DELIBERAÇÃO Nº 063/2019 – CEP – </w:t>
      </w:r>
      <w:r>
        <w:rPr>
          <w:rFonts w:ascii="Times New Roman" w:hAnsi="Times New Roman"/>
          <w:b/>
          <w:smallCaps/>
          <w:strike/>
          <w:sz w:val="22"/>
          <w:szCs w:val="22"/>
          <w:lang w:eastAsia="pt-BR"/>
        </w:rPr>
        <w:t xml:space="preserve">CAU/BR 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</w:pPr>
      <w:r>
        <w:rPr>
          <w:rFonts w:ascii="Times New Roman" w:hAnsi="Times New Roman"/>
          <w:strike/>
          <w:sz w:val="22"/>
          <w:szCs w:val="22"/>
          <w:lang w:eastAsia="pt-BR"/>
        </w:rPr>
        <w:t>A COMISSÃO DE EXERCÍCIO PROFISSIONAL – (CEP</w:t>
      </w:r>
      <w:r>
        <w:rPr>
          <w:rFonts w:ascii="Times New Roman" w:hAnsi="Times New Roman"/>
          <w:b/>
          <w:smallCaps/>
          <w:strike/>
          <w:sz w:val="22"/>
          <w:szCs w:val="22"/>
          <w:lang w:eastAsia="pt-BR"/>
        </w:rPr>
        <w:t xml:space="preserve"> – </w:t>
      </w:r>
      <w:r>
        <w:rPr>
          <w:rFonts w:ascii="Times New Roman" w:hAnsi="Times New Roman"/>
          <w:smallCaps/>
          <w:strike/>
          <w:sz w:val="22"/>
          <w:szCs w:val="22"/>
          <w:lang w:eastAsia="pt-BR"/>
        </w:rPr>
        <w:t>CAU/BR</w:t>
      </w:r>
      <w:r>
        <w:rPr>
          <w:rFonts w:ascii="Times New Roman" w:hAnsi="Times New Roman"/>
          <w:strike/>
          <w:sz w:val="22"/>
          <w:szCs w:val="22"/>
          <w:lang w:eastAsia="pt-BR"/>
        </w:rPr>
        <w:t>), reunida ordinariamente em Brasília-DF, na sede do CAU/BR, nos dias 05 e 06 de setembro de 2019, no uso das competências que lhe conferem o art. 97, 101 e 102 do Regimento Interno do CAU/BR, ap</w:t>
      </w:r>
      <w:r>
        <w:rPr>
          <w:rFonts w:ascii="Times New Roman" w:hAnsi="Times New Roman"/>
          <w:strike/>
          <w:sz w:val="22"/>
          <w:szCs w:val="22"/>
          <w:lang w:eastAsia="pt-BR"/>
        </w:rPr>
        <w:t>ós análise do assunto em epígrafe, e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  <w:r>
        <w:rPr>
          <w:rFonts w:ascii="Times New Roman" w:hAnsi="Times New Roman"/>
          <w:strike/>
          <w:sz w:val="22"/>
          <w:szCs w:val="22"/>
          <w:lang w:eastAsia="pt-BR"/>
        </w:rPr>
        <w:t>Considerando a Deliberação nº 037/2019-CEP-CAU/ES, que solicita esclarecimentos quanto à atribuição dos arquitetos e urbanistas para atividades de “instalação de bomba sêxtupla e instalação de descargas à distância” em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 postos de serviços de revenda de combustíveis, devido à descrição contida no Atestado Técnico em análise, para emissão de CAT-A nº 496724/2019; 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</w:pPr>
      <w:r>
        <w:rPr>
          <w:rFonts w:ascii="Times New Roman" w:hAnsi="Times New Roman"/>
          <w:strike/>
          <w:sz w:val="22"/>
          <w:szCs w:val="22"/>
          <w:lang w:eastAsia="pt-BR"/>
        </w:rPr>
        <w:t xml:space="preserve">Considerando a </w:t>
      </w: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 xml:space="preserve">Resolução CAU/BR nº 21/2012, que dispõe sobre as atividades técnicas de atribuição dos </w:t>
      </w: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 xml:space="preserve">arquitetos e urbanistas, para fins de </w:t>
      </w:r>
      <w:r>
        <w:rPr>
          <w:rFonts w:ascii="Times New Roman" w:hAnsi="Times New Roman"/>
          <w:strike/>
          <w:sz w:val="22"/>
          <w:szCs w:val="22"/>
          <w:lang w:eastAsia="pt-BR"/>
        </w:rPr>
        <w:t>Registro de Responsabilidade Técnica (RRT) no CAU</w:t>
      </w: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>;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autoSpaceDE w:val="0"/>
        <w:jc w:val="both"/>
        <w:rPr>
          <w:rFonts w:ascii="Times New Roman" w:hAnsi="Times New Roman"/>
          <w:strike/>
          <w:sz w:val="22"/>
          <w:szCs w:val="22"/>
          <w:lang w:eastAsia="pt-BR"/>
        </w:rPr>
      </w:pPr>
      <w:r>
        <w:rPr>
          <w:rFonts w:ascii="Times New Roman" w:hAnsi="Times New Roman"/>
          <w:strike/>
          <w:sz w:val="22"/>
          <w:szCs w:val="22"/>
          <w:lang w:eastAsia="pt-BR"/>
        </w:rPr>
        <w:t>Considerando a figura abaixo que ilustra uma visão geral das conexões entre os tanques subterrâneos e as bombas de combustível que podem estar presentes em um posto d</w:t>
      </w:r>
      <w:r>
        <w:rPr>
          <w:rFonts w:ascii="Times New Roman" w:hAnsi="Times New Roman"/>
          <w:strike/>
          <w:sz w:val="22"/>
          <w:szCs w:val="22"/>
          <w:lang w:eastAsia="pt-BR"/>
        </w:rPr>
        <w:t>e serviços, mostrando os equipamentos que estão associados às operações de descarga dos caminhões-tanque, sucção das bombas e abastecimento dos veículos, que é considerada a área de maior risco humano e ambiental devido ao potencial de vazamentos, derrames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 e risco de explosão:  </w:t>
      </w:r>
    </w:p>
    <w:p w:rsidR="0079265E" w:rsidRDefault="00776835">
      <w:pPr>
        <w:jc w:val="center"/>
      </w:pPr>
      <w:r>
        <w:rPr>
          <w:rFonts w:ascii="Times New Roman" w:hAnsi="Times New Roman"/>
          <w:b/>
          <w:strike/>
          <w:noProof/>
          <w:sz w:val="22"/>
          <w:szCs w:val="22"/>
          <w:lang w:eastAsia="pt-BR"/>
        </w:rPr>
        <w:drawing>
          <wp:inline distT="0" distB="0" distL="0" distR="0">
            <wp:extent cx="5367061" cy="3529108"/>
            <wp:effectExtent l="0" t="0" r="5039" b="0"/>
            <wp:docPr id="4" name="Imagem 3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6"/>
                    <a:srcRect b="6.899%"/>
                    <a:stretch>
                      <a:fillRect/>
                    </a:stretch>
                  </pic:blipFill>
                  <pic:spPr>
                    <a:xfrm>
                      <a:off x="0" y="0"/>
                      <a:ext cx="5367061" cy="35291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265E" w:rsidRDefault="00776835">
      <w:pPr>
        <w:jc w:val="center"/>
        <w:rPr>
          <w:rFonts w:ascii="Times New Roman" w:hAnsi="Times New Roman"/>
          <w:strike/>
          <w:lang w:eastAsia="pt-BR"/>
        </w:rPr>
      </w:pPr>
      <w:r>
        <w:rPr>
          <w:rFonts w:ascii="Times New Roman" w:hAnsi="Times New Roman"/>
          <w:strike/>
          <w:lang w:eastAsia="pt-BR"/>
        </w:rPr>
        <w:t>Fonte: adaptado de http://postode gasolina-vendareforma.blogspot.com.br/</w:t>
      </w:r>
    </w:p>
    <w:p w:rsidR="0079265E" w:rsidRDefault="0079265E">
      <w:pPr>
        <w:jc w:val="both"/>
        <w:rPr>
          <w:rFonts w:ascii="Times New Roman" w:hAnsi="Times New Roman"/>
          <w:b/>
          <w:strike/>
          <w:sz w:val="22"/>
          <w:szCs w:val="22"/>
          <w:lang w:eastAsia="pt-BR"/>
        </w:rPr>
      </w:pPr>
    </w:p>
    <w:p w:rsidR="0079265E" w:rsidRDefault="00776835">
      <w:pPr>
        <w:jc w:val="both"/>
        <w:rPr>
          <w:rFonts w:ascii="Times New Roman" w:hAnsi="Times New Roman"/>
          <w:b/>
          <w:strike/>
          <w:sz w:val="22"/>
          <w:szCs w:val="22"/>
          <w:lang w:eastAsia="pt-BR"/>
        </w:rPr>
      </w:pPr>
      <w:r>
        <w:rPr>
          <w:rFonts w:ascii="Times New Roman" w:hAnsi="Times New Roman"/>
          <w:b/>
          <w:strike/>
          <w:sz w:val="22"/>
          <w:szCs w:val="22"/>
          <w:lang w:eastAsia="pt-BR"/>
        </w:rPr>
        <w:lastRenderedPageBreak/>
        <w:t>DELIBERA: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</w:pP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 xml:space="preserve">1 </w:t>
      </w:r>
      <w:r>
        <w:rPr>
          <w:rFonts w:ascii="Times New Roman" w:hAnsi="Times New Roman"/>
          <w:strike/>
          <w:sz w:val="22"/>
          <w:szCs w:val="22"/>
        </w:rPr>
        <w:t xml:space="preserve">– </w:t>
      </w: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 xml:space="preserve">Esclarecer que os 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arquitetos e urbanistas </w:t>
      </w:r>
      <w:r>
        <w:rPr>
          <w:rFonts w:ascii="Times New Roman" w:hAnsi="Times New Roman"/>
          <w:strike/>
          <w:sz w:val="22"/>
          <w:szCs w:val="22"/>
          <w:u w:val="single"/>
          <w:lang w:eastAsia="pt-BR"/>
        </w:rPr>
        <w:t>não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 possuem atribuição para realização e responsabilidade técnica, por meio de RRT, das atividades </w:t>
      </w:r>
      <w:r>
        <w:rPr>
          <w:rFonts w:ascii="Times New Roman" w:hAnsi="Times New Roman"/>
          <w:strike/>
          <w:sz w:val="22"/>
          <w:szCs w:val="22"/>
          <w:lang w:eastAsia="pt-BR"/>
        </w:rPr>
        <w:t>e serviços relacionados a: instalações de equipamentos, bombas de combustíveis e tanques subterrâneos de postos de serviços para revenda de combustíveis e abastecimento de veículos, o que inclui a instalação de tubulações relativas às conexões entre os tan</w:t>
      </w:r>
      <w:r>
        <w:rPr>
          <w:rFonts w:ascii="Times New Roman" w:hAnsi="Times New Roman"/>
          <w:strike/>
          <w:sz w:val="22"/>
          <w:szCs w:val="22"/>
          <w:lang w:eastAsia="pt-BR"/>
        </w:rPr>
        <w:t>ques subterrâneos e as bombas de combustível, os equipamentos que estão associados às operações de descarga dos caminhões-tanque, sucção das bombas e abastecimento dos veículos e inclui também a instalação de bomba sêxtupla e de descargas à distância, obje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to do protocolo SICCAU nº </w:t>
      </w:r>
      <w:r>
        <w:rPr>
          <w:rFonts w:ascii="Times New Roman" w:hAnsi="Times New Roman"/>
          <w:strike/>
          <w:sz w:val="22"/>
          <w:szCs w:val="22"/>
        </w:rPr>
        <w:t xml:space="preserve">869257 </w:t>
      </w:r>
      <w:r>
        <w:rPr>
          <w:rFonts w:ascii="Times New Roman" w:hAnsi="Times New Roman"/>
          <w:strike/>
          <w:sz w:val="22"/>
          <w:szCs w:val="22"/>
          <w:lang w:eastAsia="pt-BR"/>
        </w:rPr>
        <w:t>encaminhado à CEP-CAU/BR;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</w:pPr>
      <w:r>
        <w:rPr>
          <w:rFonts w:ascii="Times New Roman" w:hAnsi="Times New Roman"/>
          <w:strike/>
          <w:sz w:val="22"/>
          <w:szCs w:val="22"/>
          <w:lang w:eastAsia="pt-BR"/>
        </w:rPr>
        <w:t xml:space="preserve">2 – Informar ao CAU/ES que a atividade técnica 2.8.1. – Execução de terraplenagem, drenagem e equipamentos, constituinte do RRT nº 7889121 vinculado ao Atestado apresentado para emissão da CAT-A, </w:t>
      </w:r>
      <w:r>
        <w:rPr>
          <w:rFonts w:ascii="Times New Roman" w:hAnsi="Times New Roman"/>
          <w:strike/>
          <w:sz w:val="22"/>
          <w:szCs w:val="22"/>
          <w:lang w:eastAsia="pt-BR"/>
        </w:rPr>
        <w:t xml:space="preserve">pertencente ao subgrupo 2.8 – Instalações e Equipamentos </w:t>
      </w:r>
      <w:r>
        <w:rPr>
          <w:rFonts w:ascii="Times New Roman" w:hAnsi="Times New Roman"/>
          <w:strike/>
          <w:sz w:val="22"/>
          <w:szCs w:val="22"/>
          <w:u w:val="single"/>
          <w:lang w:eastAsia="pt-BR"/>
        </w:rPr>
        <w:t>Referentes ao Urbanismo</w:t>
      </w:r>
      <w:r>
        <w:rPr>
          <w:rFonts w:ascii="Times New Roman" w:hAnsi="Times New Roman"/>
          <w:strike/>
          <w:sz w:val="22"/>
          <w:szCs w:val="22"/>
          <w:lang w:eastAsia="pt-BR"/>
        </w:rPr>
        <w:t>, do grupo 2 – Execução da Resolução CAU/BR nº 21/2012, não se relacionada aos serviços contratados e foi usada de forma incorreta, portanto recomenda-se que seja procedida a r</w:t>
      </w:r>
      <w:r>
        <w:rPr>
          <w:rFonts w:ascii="Times New Roman" w:hAnsi="Times New Roman"/>
          <w:strike/>
          <w:sz w:val="22"/>
          <w:szCs w:val="22"/>
          <w:lang w:eastAsia="pt-BR"/>
        </w:rPr>
        <w:t>etificação do referido RRT, seguindo as orientações da Deliberação nº 082/2018-CEP-CAU/BR; e</w:t>
      </w:r>
    </w:p>
    <w:p w:rsidR="0079265E" w:rsidRDefault="0079265E">
      <w:pPr>
        <w:jc w:val="both"/>
        <w:rPr>
          <w:rFonts w:ascii="Times New Roman" w:eastAsia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jc w:val="both"/>
      </w:pPr>
      <w:r>
        <w:rPr>
          <w:rFonts w:ascii="Times New Roman" w:eastAsia="Times New Roman" w:hAnsi="Times New Roman"/>
          <w:strike/>
          <w:sz w:val="22"/>
          <w:szCs w:val="22"/>
          <w:lang w:eastAsia="pt-BR"/>
        </w:rPr>
        <w:t>3 –</w:t>
      </w:r>
      <w:r>
        <w:rPr>
          <w:rFonts w:ascii="Times New Roman" w:hAnsi="Times New Roman"/>
          <w:strike/>
          <w:sz w:val="22"/>
          <w:szCs w:val="22"/>
        </w:rPr>
        <w:t xml:space="preserve"> Encaminhar esta Deliberação à SGM para envio de resposta ao CAU/ES e à Rede Integrada de Atendimento do CAU/BR (RIA) para conhecimento, catalogação e divulgaç</w:t>
      </w:r>
      <w:r>
        <w:rPr>
          <w:rFonts w:ascii="Times New Roman" w:hAnsi="Times New Roman"/>
          <w:strike/>
          <w:sz w:val="22"/>
          <w:szCs w:val="22"/>
        </w:rPr>
        <w:t>ão aos CAU/UF.</w:t>
      </w:r>
    </w:p>
    <w:p w:rsidR="0079265E" w:rsidRDefault="0079265E">
      <w:pPr>
        <w:jc w:val="both"/>
        <w:rPr>
          <w:rFonts w:ascii="Times New Roman" w:hAnsi="Times New Roman"/>
          <w:strike/>
          <w:sz w:val="22"/>
          <w:szCs w:val="22"/>
          <w:lang w:eastAsia="pt-BR"/>
        </w:rPr>
      </w:pPr>
    </w:p>
    <w:p w:rsidR="0079265E" w:rsidRDefault="00776835">
      <w:pPr>
        <w:spacing w:after="6pt"/>
        <w:jc w:val="center"/>
        <w:rPr>
          <w:rFonts w:ascii="Times New Roman" w:hAnsi="Times New Roman"/>
          <w:strike/>
          <w:sz w:val="22"/>
          <w:szCs w:val="22"/>
          <w:lang w:eastAsia="pt-BR"/>
        </w:rPr>
      </w:pPr>
      <w:r>
        <w:rPr>
          <w:rFonts w:ascii="Times New Roman" w:hAnsi="Times New Roman"/>
          <w:strike/>
          <w:sz w:val="22"/>
          <w:szCs w:val="22"/>
          <w:lang w:eastAsia="pt-BR"/>
        </w:rPr>
        <w:t>Brasília - DF, 6 de setembro de 2019.</w:t>
      </w:r>
    </w:p>
    <w:p w:rsidR="0079265E" w:rsidRDefault="0079265E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79265E" w:rsidRDefault="00776835">
      <w:pPr>
        <w:tabs>
          <w:tab w:val="start" w:pos="226.80pt"/>
        </w:tabs>
        <w:autoSpaceDE w:val="0"/>
      </w:pPr>
      <w:r>
        <w:rPr>
          <w:rFonts w:ascii="Times New Roman" w:hAnsi="Times New Roman"/>
          <w:b/>
          <w:caps/>
          <w:spacing w:val="4"/>
          <w:sz w:val="22"/>
          <w:szCs w:val="22"/>
        </w:rPr>
        <w:t>ricardo martins da fonseca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ab/>
        <w:t>____________________________________</w:t>
      </w:r>
    </w:p>
    <w:p w:rsidR="0079265E" w:rsidRDefault="00776835">
      <w:pPr>
        <w:tabs>
          <w:tab w:val="start" w:pos="232.55pt"/>
        </w:tabs>
        <w:autoSpaceDE w:val="0"/>
      </w:pPr>
      <w:r>
        <w:rPr>
          <w:rFonts w:ascii="Times New Roman" w:hAnsi="Times New Roman"/>
          <w:sz w:val="22"/>
          <w:szCs w:val="22"/>
          <w:lang w:eastAsia="pt-BR"/>
        </w:rPr>
        <w:t>Coordenador</w:t>
      </w:r>
      <w:r>
        <w:rPr>
          <w:rFonts w:ascii="Times New Roman" w:eastAsia="Calibri" w:hAnsi="Times New Roman"/>
          <w:spacing w:val="-6"/>
          <w:sz w:val="22"/>
          <w:szCs w:val="22"/>
          <w:lang w:eastAsia="pt-BR"/>
        </w:rPr>
        <w:tab/>
      </w:r>
    </w:p>
    <w:p w:rsidR="0079265E" w:rsidRDefault="0079265E">
      <w:pPr>
        <w:tabs>
          <w:tab w:val="center" w:pos="226.80pt"/>
          <w:tab w:val="end" w:pos="425.20pt"/>
        </w:tabs>
        <w:rPr>
          <w:rFonts w:ascii="Times New Roman" w:hAnsi="Times New Roman"/>
          <w:b/>
          <w:sz w:val="22"/>
          <w:szCs w:val="22"/>
        </w:rPr>
      </w:pPr>
    </w:p>
    <w:p w:rsidR="0079265E" w:rsidRDefault="00776835">
      <w:pPr>
        <w:tabs>
          <w:tab w:val="center" w:pos="226.80pt"/>
          <w:tab w:val="end" w:pos="425.20pt"/>
        </w:tabs>
      </w:pPr>
      <w:r>
        <w:rPr>
          <w:rFonts w:ascii="Times New Roman" w:hAnsi="Times New Roman"/>
          <w:b/>
          <w:sz w:val="22"/>
          <w:szCs w:val="22"/>
        </w:rPr>
        <w:t xml:space="preserve">FERNANDO MÁRCIO </w:t>
      </w:r>
      <w:r>
        <w:rPr>
          <w:b/>
        </w:rPr>
        <w:t>DE OLIVEIRA</w:t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_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</w:t>
      </w:r>
    </w:p>
    <w:p w:rsidR="0079265E" w:rsidRDefault="00776835">
      <w:pPr>
        <w:tabs>
          <w:tab w:val="start" w:pos="232.55pt"/>
        </w:tabs>
      </w:pPr>
      <w:r>
        <w:rPr>
          <w:rFonts w:ascii="Times New Roman" w:hAnsi="Times New Roman"/>
          <w:sz w:val="22"/>
          <w:szCs w:val="22"/>
          <w:lang w:eastAsia="pt-BR"/>
        </w:rPr>
        <w:t>Membro</w:t>
      </w:r>
      <w:r>
        <w:rPr>
          <w:rFonts w:ascii="Times New Roman" w:eastAsia="Calibri" w:hAnsi="Times New Roman"/>
          <w:spacing w:val="-6"/>
          <w:sz w:val="22"/>
          <w:szCs w:val="22"/>
          <w:lang w:eastAsia="pt-BR"/>
        </w:rPr>
        <w:tab/>
      </w:r>
    </w:p>
    <w:p w:rsidR="0079265E" w:rsidRDefault="0079265E"/>
    <w:p w:rsidR="0079265E" w:rsidRDefault="00776835">
      <w:pPr>
        <w:tabs>
          <w:tab w:val="center" w:pos="212.60pt"/>
          <w:tab w:val="end" w:pos="425.20pt"/>
        </w:tabs>
      </w:pPr>
      <w:r>
        <w:rPr>
          <w:rFonts w:ascii="Times New Roman" w:eastAsia="Calibri" w:hAnsi="Times New Roman"/>
          <w:b/>
          <w:sz w:val="22"/>
          <w:szCs w:val="22"/>
        </w:rPr>
        <w:t>JOSEMÉE GOMES DE LIMA</w:t>
      </w:r>
      <w:r>
        <w:rPr>
          <w:rFonts w:ascii="Times New Roman" w:eastAsia="Calibri" w:hAnsi="Times New Roman"/>
          <w:b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</w:t>
      </w:r>
    </w:p>
    <w:p w:rsidR="0079265E" w:rsidRDefault="00776835">
      <w:pPr>
        <w:tabs>
          <w:tab w:val="start" w:pos="232.55pt"/>
        </w:tabs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Membro</w:t>
      </w:r>
    </w:p>
    <w:p w:rsidR="0079265E" w:rsidRDefault="0079265E">
      <w:pPr>
        <w:tabs>
          <w:tab w:val="start" w:pos="232.55pt"/>
        </w:tabs>
        <w:autoSpaceDE w:val="0"/>
        <w:rPr>
          <w:rFonts w:ascii="Times New Roman" w:hAnsi="Times New Roman"/>
          <w:caps/>
          <w:spacing w:val="4"/>
          <w:sz w:val="22"/>
          <w:szCs w:val="22"/>
          <w:lang w:eastAsia="pt-BR"/>
        </w:rPr>
      </w:pPr>
    </w:p>
    <w:p w:rsidR="0079265E" w:rsidRDefault="00776835">
      <w:pPr>
        <w:tabs>
          <w:tab w:val="center" w:pos="226.80pt"/>
          <w:tab w:val="end" w:pos="425.20pt"/>
        </w:tabs>
      </w:pPr>
      <w:r>
        <w:rPr>
          <w:rFonts w:ascii="Times New Roman" w:hAnsi="Times New Roman"/>
          <w:b/>
          <w:sz w:val="22"/>
          <w:szCs w:val="22"/>
        </w:rPr>
        <w:t>WERNER DEIMLING ALBUQUERQUE</w:t>
      </w:r>
      <w:r>
        <w:rPr>
          <w:rFonts w:ascii="Times New Roman" w:hAnsi="Times New Roman"/>
          <w:b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</w:rPr>
        <w:tab/>
        <w:t>_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</w:t>
      </w:r>
    </w:p>
    <w:p w:rsidR="0079265E" w:rsidRDefault="00776835">
      <w:pPr>
        <w:tabs>
          <w:tab w:val="start" w:pos="232.55pt"/>
        </w:tabs>
      </w:pPr>
      <w:r>
        <w:rPr>
          <w:rFonts w:ascii="Times New Roman" w:hAnsi="Times New Roman"/>
          <w:sz w:val="22"/>
          <w:szCs w:val="22"/>
          <w:lang w:eastAsia="pt-BR"/>
        </w:rPr>
        <w:t>Membro</w:t>
      </w:r>
    </w:p>
    <w:p w:rsidR="0079265E" w:rsidRDefault="0079265E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sectPr w:rsidR="0079265E">
      <w:headerReference w:type="default" r:id="rId7"/>
      <w:footerReference w:type="default" r:id="rId8"/>
      <w:pgSz w:w="595pt" w:h="842pt"/>
      <w:pgMar w:top="99.25pt" w:right="56.40pt" w:bottom="77.95pt" w:left="77.95pt" w:header="66.35pt" w:footer="29.20pt" w:gutter="0pt"/>
      <w:cols w:space="36pt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:rsidR="00000000" w:rsidRDefault="00776835">
      <w:r>
        <w:separator/>
      </w:r>
    </w:p>
  </w:endnote>
  <w:endnote w:type="continuationSeparator" w:id="0">
    <w:p w:rsidR="00000000" w:rsidRDefault="0077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characterSet="iso-8859-1"/>
    <w:family w:val="roman"/>
    <w:pitch w:val="variable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BA04B7" w:rsidRDefault="00776835">
    <w:pPr>
      <w:pStyle w:val="Rodap"/>
      <w:tabs>
        <w:tab w:val="clear" w:pos="216pt"/>
        <w:tab w:val="clear" w:pos="432pt"/>
        <w:tab w:val="start" w:pos="126.75pt"/>
      </w:tabs>
      <w:ind w:end="18p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6553779</wp:posOffset>
          </wp:positionH>
          <wp:positionV relativeFrom="paragraph">
            <wp:posOffset>-196778</wp:posOffset>
          </wp:positionV>
          <wp:extent cx="676271" cy="229230"/>
          <wp:effectExtent l="0" t="0" r="9529" b="18420"/>
          <wp:wrapSquare wrapText="bothSides"/>
          <wp:docPr id="2" name="Caixa de Texto 2"/>
          <wp:cNvGraphicFramePr/>
          <a:graphic xmlns:a="http://purl.oclc.org/ooxml/drawingml/main">
            <a:graphicData uri="http://schemas.microsoft.com/office/word/2010/wordprocessingShape">
              <wp:wsp>
                <wp:cNvSpPr txBox="1"/>
                <wp:spPr>
                  <a:xfrm>
                    <a:off x="0" y="0"/>
                    <a:ext cx="676271" cy="2292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wp:spPr>
                <wp:txbx>
                  <wne:txbxContent>
                    <w:p w:rsidR="00BA04B7" w:rsidRDefault="00776835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2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vert="horz" wrap="square" lIns="0" tIns="0" rIns="0" bIns="0" anchor="t" anchorCtr="0" compatLnSpc="0">
                  <a:noAutofit/>
                </wp:bodyPr>
              </wp:wsp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-1010283</wp:posOffset>
          </wp:positionH>
          <wp:positionV relativeFrom="paragraph">
            <wp:posOffset>-517522</wp:posOffset>
          </wp:positionV>
          <wp:extent cx="7578720" cy="1078233"/>
          <wp:effectExtent l="0" t="0" r="3180" b="7617"/>
          <wp:wrapNone/>
          <wp:docPr id="3" name="Imagem 46" descr="CAU-BR-timbrado2015--rodape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720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rPr>
        <w:rFonts w:ascii="Times New Roman" w:hAnsi="Times New Roman"/>
        <w:color w:val="296D7A"/>
        <w:sz w:val="18"/>
        <w:szCs w:val="18"/>
      </w:rPr>
      <w:t>DELIBERAÇÃO Nº 063/2019 – CEP – CAU/BR</w:t>
    </w: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:rsidR="00000000" w:rsidRDefault="00776835">
      <w:r>
        <w:rPr>
          <w:color w:val="000000"/>
        </w:rPr>
        <w:separator/>
      </w:r>
    </w:p>
  </w:footnote>
  <w:footnote w:type="continuationSeparator" w:id="0">
    <w:p w:rsidR="00000000" w:rsidRDefault="00776835"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:rsidR="00BA04B7" w:rsidRDefault="00776835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-1010283</wp:posOffset>
          </wp:positionH>
          <wp:positionV relativeFrom="paragraph">
            <wp:posOffset>-854707</wp:posOffset>
          </wp:positionV>
          <wp:extent cx="7578720" cy="1080765"/>
          <wp:effectExtent l="0" t="0" r="3180" b="5085"/>
          <wp:wrapNone/>
          <wp:docPr id="1" name="Imagem 48" descr="CAU-BR-timbrado2015--T01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720" cy="1080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attachedTemplate r:id="rId1"/>
  <w:defaultTabStop w:val="36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79265E"/>
    <w:rsid w:val="00776835"/>
    <w:rsid w:val="0079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BCC5407-034E-4CDE-A20B-0A9891B0574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pPr>
      <w:ind w:start="35.40pt"/>
    </w:pPr>
  </w:style>
  <w:style w:type="character" w:styleId="TextodoEspaoReservado">
    <w:name w:val="Placeholder Text"/>
    <w:basedOn w:val="Fontepargpadro"/>
    <w:rPr>
      <w:color w:val="808080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webSettings" Target="webSettings.xml"/><Relationship Id="rId7" Type="http://purl.oclc.org/ooxml/officeDocument/relationships/header" Target="header1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1.emf"/><Relationship Id="rId5" Type="http://purl.oclc.org/ooxml/officeDocument/relationships/endnotes" Target="endnotes.xml"/><Relationship Id="rId10" Type="http://purl.oclc.org/ooxml/officeDocument/relationships/theme" Target="theme/theme1.xml"/><Relationship Id="rId4" Type="http://purl.oclc.org/ooxml/officeDocument/relationships/footnotes" Target="footnotes.xml"/><Relationship Id="rId9" Type="http://purl.oclc.org/ooxml/officeDocument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Normal" TargetMode="External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562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DELIBERAÇÃO Nº 063/2019 – CEP – CAU/BR</vt:lpstr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DELIBERAÇÃO Nº 063/2019 – CEP – CAU/BR</dc:title>
  <dc:subject/>
  <dc:creator>comunica</dc:creator>
  <cp:lastModifiedBy>Pedro Martins Silva</cp:lastModifiedBy>
  <cp:revision>2</cp:revision>
  <cp:lastPrinted>2015-03-04T21:55:00Z</cp:lastPrinted>
  <dcterms:created xsi:type="dcterms:W3CDTF">2022-07-06T17:31:00Z</dcterms:created>
  <dcterms:modified xsi:type="dcterms:W3CDTF">2022-07-06T17:31:00Z</dcterms:modified>
</cp:coreProperties>
</file>