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9.50pt" w:type="dxa"/>
        <w:jc w:val="center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974"/>
        <w:gridCol w:w="7216"/>
      </w:tblGrid>
      <w:tr w:rsidR="0061797D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61797D" w:rsidRDefault="00DC7727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61797D" w:rsidRDefault="00DC7727">
            <w:pPr>
              <w:widowControl w:val="0"/>
              <w:jc w:val="both"/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Protocolo 447386/2016– CAU/SC solicita manifestação do CAU/BR quanto a atribuição dos arquitetos e urbanistas para assumirem responsabilidade técnica por  “</w:t>
            </w:r>
            <w:r>
              <w:rPr>
                <w:rFonts w:ascii="Times New Roman" w:hAnsi="Times New Roman"/>
                <w:i/>
                <w:strike/>
                <w:sz w:val="22"/>
                <w:szCs w:val="22"/>
              </w:rPr>
              <w:t xml:space="preserve">coleta, transporte </w:t>
            </w:r>
            <w:r>
              <w:rPr>
                <w:rFonts w:ascii="Times New Roman" w:hAnsi="Times New Roman"/>
                <w:i/>
                <w:strike/>
                <w:sz w:val="22"/>
                <w:szCs w:val="22"/>
              </w:rPr>
              <w:t>e disposição final de resíduos sólidos domiciliares e recicláveis (não industriais) e execução das obras civis de ampliação e operação do aterro sanitário”</w:t>
            </w:r>
          </w:p>
        </w:tc>
      </w:tr>
      <w:tr w:rsidR="0061797D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61797D" w:rsidRDefault="00DC7727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61797D" w:rsidRDefault="00DC7727">
            <w:pPr>
              <w:widowControl w:val="0"/>
            </w:pPr>
            <w:r>
              <w:rPr>
                <w:rFonts w:ascii="Times New Roman" w:hAnsi="Times New Roman"/>
                <w:bCs/>
                <w:strike/>
                <w:sz w:val="22"/>
                <w:szCs w:val="22"/>
              </w:rPr>
              <w:t>Presidência do CAU/BR</w:t>
            </w:r>
          </w:p>
        </w:tc>
      </w:tr>
      <w:tr w:rsidR="0061797D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61797D" w:rsidRDefault="00DC7727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61797D" w:rsidRDefault="00DC7727">
            <w:pPr>
              <w:widowControl w:val="0"/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 xml:space="preserve">Ordem do dia nº 08 da 70ª Reunião Ordinária da </w:t>
            </w:r>
            <w:r>
              <w:rPr>
                <w:rFonts w:ascii="Times New Roman" w:hAnsi="Times New Roman"/>
                <w:strike/>
                <w:sz w:val="22"/>
                <w:szCs w:val="22"/>
              </w:rPr>
              <w:t>CEP-CAU/BR – apreciação da Deliberação da CEF-CAU/BR para decisão e encaminhamento de resposta</w:t>
            </w:r>
          </w:p>
        </w:tc>
      </w:tr>
    </w:tbl>
    <w:p w:rsidR="0061797D" w:rsidRDefault="00DC7727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trike/>
          <w:sz w:val="22"/>
          <w:szCs w:val="22"/>
          <w:lang w:eastAsia="pt-BR"/>
        </w:rPr>
      </w:pPr>
      <w:r>
        <w:rPr>
          <w:rFonts w:ascii="Times New Roman" w:hAnsi="Times New Roman"/>
          <w:smallCaps/>
          <w:strike/>
          <w:sz w:val="22"/>
          <w:szCs w:val="22"/>
          <w:lang w:eastAsia="pt-BR"/>
        </w:rPr>
        <w:t>DELIBERAÇÃO Nº 032/2018 – (CEP – CAU/BR)</w:t>
      </w:r>
    </w:p>
    <w:p w:rsidR="0061797D" w:rsidRDefault="0061797D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61797D" w:rsidRDefault="00DC7727">
      <w:pPr>
        <w:jc w:val="both"/>
      </w:pPr>
      <w:r>
        <w:rPr>
          <w:rFonts w:ascii="Times New Roman" w:hAnsi="Times New Roman"/>
          <w:strike/>
          <w:sz w:val="22"/>
          <w:szCs w:val="22"/>
          <w:lang w:eastAsia="pt-BR"/>
        </w:rPr>
        <w:t>A COMISSÃO DE EXERCÍCIO PROFISSIONAL – (CEP</w:t>
      </w:r>
      <w:r>
        <w:rPr>
          <w:rFonts w:ascii="Times New Roman" w:hAnsi="Times New Roman"/>
          <w:b/>
          <w:smallCaps/>
          <w:strike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trike/>
          <w:sz w:val="22"/>
          <w:szCs w:val="22"/>
          <w:lang w:eastAsia="pt-BR"/>
        </w:rPr>
        <w:t>CAU/BR</w:t>
      </w:r>
      <w:r>
        <w:rPr>
          <w:rFonts w:ascii="Times New Roman" w:hAnsi="Times New Roman"/>
          <w:strike/>
          <w:sz w:val="22"/>
          <w:szCs w:val="22"/>
          <w:lang w:eastAsia="pt-BR"/>
        </w:rPr>
        <w:t>), reunida ordinariamente em Brasília-DF, na sede do CAU/BR, nos d</w:t>
      </w:r>
      <w:r>
        <w:rPr>
          <w:rFonts w:ascii="Times New Roman" w:hAnsi="Times New Roman"/>
          <w:strike/>
          <w:sz w:val="22"/>
          <w:szCs w:val="22"/>
          <w:lang w:eastAsia="pt-BR"/>
        </w:rPr>
        <w:t>ias 12 e 13 de abril de 2018, no uso das competências que lhe conferem o art. 97, 101 e 102 do Regimento Interno do CAU/BR, após análise do assunto em epígrafe, e</w:t>
      </w:r>
    </w:p>
    <w:p w:rsidR="0061797D" w:rsidRDefault="0061797D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61797D" w:rsidRDefault="00DC7727">
      <w:pPr>
        <w:jc w:val="both"/>
        <w:rPr>
          <w:rFonts w:ascii="Times New Roman" w:hAnsi="Times New Roman"/>
          <w:strike/>
          <w:sz w:val="22"/>
          <w:szCs w:val="22"/>
        </w:rPr>
      </w:pPr>
      <w:r>
        <w:rPr>
          <w:rFonts w:ascii="Times New Roman" w:hAnsi="Times New Roman"/>
          <w:strike/>
          <w:sz w:val="22"/>
          <w:szCs w:val="22"/>
        </w:rPr>
        <w:t xml:space="preserve">Considerando o Ofício nº 073/2016/PRES/CAUSC, de 24 de março de 2017, no qual a Presidência </w:t>
      </w:r>
      <w:r>
        <w:rPr>
          <w:rFonts w:ascii="Times New Roman" w:hAnsi="Times New Roman"/>
          <w:strike/>
          <w:sz w:val="22"/>
          <w:szCs w:val="22"/>
        </w:rPr>
        <w:t>do CAU/SC quanto a atribuição dos arquitetos e urbanistas para assumirem responsabilidade técnica por atividades de "coleta, transporte e disposição final de resíduos sólidos domiciliares”, “coleta, transporte e destinação ambientalmente adequada de resídu</w:t>
      </w:r>
      <w:r>
        <w:rPr>
          <w:rFonts w:ascii="Times New Roman" w:hAnsi="Times New Roman"/>
          <w:strike/>
          <w:sz w:val="22"/>
          <w:szCs w:val="22"/>
        </w:rPr>
        <w:t xml:space="preserve">os sólidos recicláveis (não industriais)” e para “execução das obras civis de ampliação e operação do aterro sanitário do Município” e envia a Deliberação nº 19/2017 do CEP CAU/SC e parecer técnico nº 01/2016 para conhecimento; </w:t>
      </w:r>
    </w:p>
    <w:p w:rsidR="0061797D" w:rsidRDefault="0061797D">
      <w:pPr>
        <w:jc w:val="both"/>
        <w:rPr>
          <w:rFonts w:ascii="Times New Roman" w:hAnsi="Times New Roman"/>
          <w:strike/>
          <w:sz w:val="22"/>
          <w:szCs w:val="22"/>
        </w:rPr>
      </w:pPr>
    </w:p>
    <w:p w:rsidR="0061797D" w:rsidRDefault="00DC7727">
      <w:pPr>
        <w:jc w:val="both"/>
        <w:rPr>
          <w:rFonts w:ascii="Times New Roman" w:hAnsi="Times New Roman"/>
          <w:strike/>
          <w:sz w:val="22"/>
          <w:szCs w:val="22"/>
        </w:rPr>
      </w:pPr>
      <w:r>
        <w:rPr>
          <w:rFonts w:ascii="Times New Roman" w:hAnsi="Times New Roman"/>
          <w:strike/>
          <w:sz w:val="22"/>
          <w:szCs w:val="22"/>
        </w:rPr>
        <w:t>Considerando a Lei federal</w:t>
      </w:r>
      <w:r>
        <w:rPr>
          <w:rFonts w:ascii="Times New Roman" w:hAnsi="Times New Roman"/>
          <w:strike/>
          <w:sz w:val="22"/>
          <w:szCs w:val="22"/>
        </w:rPr>
        <w:t xml:space="preserve"> 12.305, de 2 de agosto de 2010, que instituiu a Política Nacional de Resíduos Sólidos, e em seu art. 3º define:</w:t>
      </w:r>
    </w:p>
    <w:p w:rsidR="0061797D" w:rsidRDefault="00DC7727">
      <w:pPr>
        <w:ind w:start="35.45pt"/>
        <w:jc w:val="both"/>
        <w:rPr>
          <w:rFonts w:ascii="Times New Roman" w:hAnsi="Times New Roman"/>
          <w:i/>
          <w:strike/>
          <w:sz w:val="22"/>
          <w:szCs w:val="22"/>
        </w:rPr>
      </w:pPr>
      <w:r>
        <w:rPr>
          <w:rFonts w:ascii="Times New Roman" w:hAnsi="Times New Roman"/>
          <w:i/>
          <w:strike/>
          <w:sz w:val="22"/>
          <w:szCs w:val="22"/>
        </w:rPr>
        <w:t xml:space="preserve"> “III - disposição final ambientalmente adequada: distribuição ordenada de rejeitos em aterros, observando normas operacionais específicas de m</w:t>
      </w:r>
      <w:r>
        <w:rPr>
          <w:rFonts w:ascii="Times New Roman" w:hAnsi="Times New Roman"/>
          <w:i/>
          <w:strike/>
          <w:sz w:val="22"/>
          <w:szCs w:val="22"/>
        </w:rPr>
        <w:t>odo a evitar danos ou riscos à saúde pública e à segurança e a minimizar os impactos ambientais adversos;</w:t>
      </w:r>
    </w:p>
    <w:p w:rsidR="0061797D" w:rsidRDefault="00DC7727">
      <w:pPr>
        <w:ind w:start="35.45pt"/>
        <w:jc w:val="both"/>
        <w:rPr>
          <w:rFonts w:ascii="Times New Roman" w:hAnsi="Times New Roman"/>
          <w:i/>
          <w:strike/>
          <w:sz w:val="22"/>
          <w:szCs w:val="22"/>
        </w:rPr>
      </w:pPr>
      <w:r>
        <w:rPr>
          <w:rFonts w:ascii="Times New Roman" w:hAnsi="Times New Roman"/>
          <w:i/>
          <w:strike/>
          <w:sz w:val="22"/>
          <w:szCs w:val="22"/>
        </w:rPr>
        <w:t>[...]</w:t>
      </w:r>
    </w:p>
    <w:p w:rsidR="0061797D" w:rsidRDefault="00DC7727">
      <w:pPr>
        <w:ind w:start="35.45pt"/>
        <w:jc w:val="both"/>
        <w:rPr>
          <w:rFonts w:ascii="Times New Roman" w:hAnsi="Times New Roman"/>
          <w:i/>
          <w:strike/>
          <w:sz w:val="22"/>
          <w:szCs w:val="22"/>
        </w:rPr>
      </w:pPr>
      <w:r>
        <w:rPr>
          <w:rFonts w:ascii="Times New Roman" w:hAnsi="Times New Roman"/>
          <w:i/>
          <w:strike/>
          <w:sz w:val="22"/>
          <w:szCs w:val="22"/>
        </w:rPr>
        <w:t>X - gerenciamento de resíduos sólidos: conjunto de ações exercidas, direta ou indiretamente, nas etapas de coleta, transporte, transbordo, trata</w:t>
      </w:r>
      <w:r>
        <w:rPr>
          <w:rFonts w:ascii="Times New Roman" w:hAnsi="Times New Roman"/>
          <w:i/>
          <w:strike/>
          <w:sz w:val="22"/>
          <w:szCs w:val="22"/>
        </w:rPr>
        <w:t>mento e destinação final ambientalmente adequada dos resíduos sólidos e disposição final ambientalmente adequada dos rejeitos, de acordo com plano municipal de gestão integrada de resíduos sólidos ou com plano de gerenciamento de resíduos sólidos, exigidos</w:t>
      </w:r>
      <w:r>
        <w:rPr>
          <w:rFonts w:ascii="Times New Roman" w:hAnsi="Times New Roman"/>
          <w:i/>
          <w:strike/>
          <w:sz w:val="22"/>
          <w:szCs w:val="22"/>
        </w:rPr>
        <w:t xml:space="preserve"> na forma desta Lei;</w:t>
      </w:r>
    </w:p>
    <w:p w:rsidR="0061797D" w:rsidRDefault="00DC7727">
      <w:pPr>
        <w:ind w:start="35.45pt"/>
        <w:jc w:val="both"/>
        <w:rPr>
          <w:rFonts w:ascii="Times New Roman" w:hAnsi="Times New Roman"/>
          <w:i/>
          <w:strike/>
          <w:sz w:val="22"/>
          <w:szCs w:val="22"/>
        </w:rPr>
      </w:pPr>
      <w:r>
        <w:rPr>
          <w:rFonts w:ascii="Times New Roman" w:hAnsi="Times New Roman"/>
          <w:i/>
          <w:strike/>
          <w:sz w:val="22"/>
          <w:szCs w:val="22"/>
        </w:rPr>
        <w:t>[...]</w:t>
      </w:r>
    </w:p>
    <w:p w:rsidR="0061797D" w:rsidRDefault="00DC7727">
      <w:pPr>
        <w:ind w:start="35.45pt"/>
        <w:jc w:val="both"/>
        <w:rPr>
          <w:rFonts w:ascii="Times New Roman" w:hAnsi="Times New Roman"/>
          <w:i/>
          <w:strike/>
          <w:sz w:val="22"/>
          <w:szCs w:val="22"/>
        </w:rPr>
      </w:pPr>
      <w:r>
        <w:rPr>
          <w:rFonts w:ascii="Times New Roman" w:hAnsi="Times New Roman"/>
          <w:i/>
          <w:strike/>
          <w:sz w:val="22"/>
          <w:szCs w:val="22"/>
        </w:rPr>
        <w:t>XVI- resíduos sólidos como “material, substância, objeto ou bem descartado resultante de atividades humanas em sociedade, a cuja destinação final se procede, se propõe proceder ou se está obrigado a proceder, nos estados sólido o</w:t>
      </w:r>
      <w:r>
        <w:rPr>
          <w:rFonts w:ascii="Times New Roman" w:hAnsi="Times New Roman"/>
          <w:i/>
          <w:strike/>
          <w:sz w:val="22"/>
          <w:szCs w:val="22"/>
        </w:rPr>
        <w:t>u semissólido, bem como gases contidos em recipientes e líquidos cujas particularidades tornem inviável o seu lançamento na rede pública de esgotos ou em corpos d’água, ou exijam para isso soluções técnica ou economicamente inviáveis em face da melhor tecn</w:t>
      </w:r>
      <w:r>
        <w:rPr>
          <w:rFonts w:ascii="Times New Roman" w:hAnsi="Times New Roman"/>
          <w:i/>
          <w:strike/>
          <w:sz w:val="22"/>
          <w:szCs w:val="22"/>
        </w:rPr>
        <w:t>ologia disponível;”</w:t>
      </w:r>
    </w:p>
    <w:p w:rsidR="0061797D" w:rsidRDefault="0061797D">
      <w:pPr>
        <w:jc w:val="both"/>
        <w:rPr>
          <w:rFonts w:ascii="Times New Roman" w:hAnsi="Times New Roman"/>
          <w:strike/>
          <w:sz w:val="22"/>
          <w:szCs w:val="22"/>
        </w:rPr>
      </w:pPr>
    </w:p>
    <w:p w:rsidR="0061797D" w:rsidRDefault="00DC7727">
      <w:pPr>
        <w:jc w:val="both"/>
        <w:rPr>
          <w:rFonts w:ascii="Times New Roman" w:hAnsi="Times New Roman"/>
          <w:strike/>
          <w:sz w:val="22"/>
          <w:szCs w:val="22"/>
        </w:rPr>
      </w:pPr>
      <w:r>
        <w:rPr>
          <w:rFonts w:ascii="Times New Roman" w:hAnsi="Times New Roman"/>
          <w:strike/>
          <w:sz w:val="22"/>
          <w:szCs w:val="22"/>
        </w:rPr>
        <w:t>Considerando o inciso V do parágrafo único do art. 2º da Lei federal nº 12.378, de 31 de dezembro de 2010, que define o seguinte campo de atuação de atribuição dos arquitetos e urbanistas: “do Planejamento Urbano e Regional, planejamen</w:t>
      </w:r>
      <w:r>
        <w:rPr>
          <w:rFonts w:ascii="Times New Roman" w:hAnsi="Times New Roman"/>
          <w:strike/>
          <w:sz w:val="22"/>
          <w:szCs w:val="22"/>
        </w:rPr>
        <w:t>to físico-territorial, planos de intervenção no espaço urbano, metropolitano e regional fundamentados nos sistemas de infraestrutura, saneamento básico e ambiental, sistema viário, sinalização, tráfego e trânsito urbano e rural, acessibilidade, gestão terr</w:t>
      </w:r>
      <w:r>
        <w:rPr>
          <w:rFonts w:ascii="Times New Roman" w:hAnsi="Times New Roman"/>
          <w:strike/>
          <w:sz w:val="22"/>
          <w:szCs w:val="22"/>
        </w:rPr>
        <w:t>itorial e ambiental, [...]</w:t>
      </w:r>
    </w:p>
    <w:p w:rsidR="0061797D" w:rsidRDefault="0061797D">
      <w:pPr>
        <w:jc w:val="both"/>
        <w:rPr>
          <w:rFonts w:ascii="Times New Roman" w:hAnsi="Times New Roman"/>
          <w:strike/>
          <w:sz w:val="22"/>
          <w:szCs w:val="22"/>
        </w:rPr>
      </w:pPr>
    </w:p>
    <w:p w:rsidR="0061797D" w:rsidRDefault="00DC7727">
      <w:pPr>
        <w:jc w:val="both"/>
        <w:rPr>
          <w:rFonts w:ascii="Times New Roman" w:hAnsi="Times New Roman"/>
          <w:strike/>
          <w:sz w:val="22"/>
          <w:szCs w:val="22"/>
        </w:rPr>
      </w:pPr>
      <w:r>
        <w:rPr>
          <w:rFonts w:ascii="Times New Roman" w:hAnsi="Times New Roman"/>
          <w:strike/>
          <w:sz w:val="22"/>
          <w:szCs w:val="22"/>
        </w:rPr>
        <w:t>Considerando a Resolução MEC-CNE-CES n.º 2, de 17 de junho de 2010, que institui as diretrizes curriculares nacionais do curso de graduação em Arquitetura e Urbanismo;</w:t>
      </w:r>
    </w:p>
    <w:p w:rsidR="0061797D" w:rsidRDefault="0061797D">
      <w:pPr>
        <w:jc w:val="both"/>
        <w:rPr>
          <w:rFonts w:ascii="Times New Roman" w:hAnsi="Times New Roman"/>
          <w:strike/>
          <w:sz w:val="22"/>
          <w:szCs w:val="22"/>
        </w:rPr>
      </w:pPr>
    </w:p>
    <w:p w:rsidR="0061797D" w:rsidRDefault="0061797D">
      <w:pPr>
        <w:autoSpaceDE w:val="0"/>
        <w:jc w:val="both"/>
        <w:rPr>
          <w:rFonts w:ascii="Times New Roman" w:hAnsi="Times New Roman"/>
          <w:strike/>
          <w:sz w:val="22"/>
          <w:szCs w:val="22"/>
        </w:rPr>
      </w:pPr>
    </w:p>
    <w:p w:rsidR="0061797D" w:rsidRDefault="00DC7727">
      <w:pPr>
        <w:autoSpaceDE w:val="0"/>
        <w:jc w:val="both"/>
        <w:rPr>
          <w:rFonts w:ascii="Times New Roman" w:hAnsi="Times New Roman"/>
          <w:strike/>
          <w:sz w:val="22"/>
          <w:szCs w:val="22"/>
        </w:rPr>
      </w:pPr>
      <w:r>
        <w:rPr>
          <w:rFonts w:ascii="Times New Roman" w:hAnsi="Times New Roman"/>
          <w:strike/>
          <w:sz w:val="22"/>
          <w:szCs w:val="22"/>
        </w:rPr>
        <w:lastRenderedPageBreak/>
        <w:t>Considerando a Resolução CAU/BR nº 21, de 5 de abril de 20</w:t>
      </w:r>
      <w:r>
        <w:rPr>
          <w:rFonts w:ascii="Times New Roman" w:hAnsi="Times New Roman"/>
          <w:strike/>
          <w:sz w:val="22"/>
          <w:szCs w:val="22"/>
        </w:rPr>
        <w:t xml:space="preserve">12, que dispõe sobre as atividades de atribuição de arquiteto e urbanista, que em seu art. 3º elenca as seguintes atividades técnicas: </w:t>
      </w:r>
    </w:p>
    <w:p w:rsidR="0061797D" w:rsidRDefault="00DC7727">
      <w:pPr>
        <w:autoSpaceDE w:val="0"/>
        <w:ind w:start="42.55pt"/>
        <w:jc w:val="both"/>
        <w:rPr>
          <w:rFonts w:ascii="Times New Roman" w:hAnsi="Times New Roman"/>
          <w:i/>
          <w:strike/>
          <w:sz w:val="22"/>
          <w:szCs w:val="22"/>
        </w:rPr>
      </w:pPr>
      <w:r>
        <w:rPr>
          <w:rFonts w:ascii="Times New Roman" w:hAnsi="Times New Roman"/>
          <w:i/>
          <w:strike/>
          <w:sz w:val="22"/>
          <w:szCs w:val="22"/>
        </w:rPr>
        <w:t xml:space="preserve">“1.9.5. Projeto de sistema de coleta de resíduos sólidos”; </w:t>
      </w:r>
    </w:p>
    <w:p w:rsidR="0061797D" w:rsidRDefault="00DC7727">
      <w:pPr>
        <w:autoSpaceDE w:val="0"/>
        <w:ind w:start="42.55pt"/>
        <w:jc w:val="both"/>
        <w:rPr>
          <w:rFonts w:ascii="Times New Roman" w:hAnsi="Times New Roman"/>
          <w:i/>
          <w:strike/>
          <w:sz w:val="22"/>
          <w:szCs w:val="22"/>
        </w:rPr>
      </w:pPr>
      <w:r>
        <w:rPr>
          <w:rFonts w:ascii="Times New Roman" w:hAnsi="Times New Roman"/>
          <w:i/>
          <w:strike/>
          <w:sz w:val="22"/>
          <w:szCs w:val="22"/>
        </w:rPr>
        <w:t>“2.8.5. Implantação de sistema de coleta de resíduos sólidos</w:t>
      </w:r>
      <w:r>
        <w:rPr>
          <w:rFonts w:ascii="Times New Roman" w:hAnsi="Times New Roman"/>
          <w:i/>
          <w:strike/>
          <w:sz w:val="22"/>
          <w:szCs w:val="22"/>
        </w:rPr>
        <w:t xml:space="preserve">”; e </w:t>
      </w:r>
    </w:p>
    <w:p w:rsidR="0061797D" w:rsidRDefault="00DC7727">
      <w:pPr>
        <w:autoSpaceDE w:val="0"/>
        <w:ind w:start="42.55pt"/>
        <w:jc w:val="both"/>
        <w:rPr>
          <w:rFonts w:ascii="Times New Roman" w:hAnsi="Times New Roman"/>
          <w:i/>
          <w:strike/>
          <w:sz w:val="22"/>
          <w:szCs w:val="22"/>
        </w:rPr>
      </w:pPr>
      <w:r>
        <w:rPr>
          <w:rFonts w:ascii="Times New Roman" w:hAnsi="Times New Roman"/>
          <w:i/>
          <w:strike/>
          <w:sz w:val="22"/>
          <w:szCs w:val="22"/>
        </w:rPr>
        <w:t>“4.2.13. Plano de Gerenciamento de Resíduos Sólidos – PGRS”</w:t>
      </w:r>
    </w:p>
    <w:p w:rsidR="0061797D" w:rsidRDefault="0061797D">
      <w:pPr>
        <w:autoSpaceDE w:val="0"/>
        <w:jc w:val="both"/>
        <w:rPr>
          <w:rFonts w:ascii="Times New Roman" w:hAnsi="Times New Roman"/>
          <w:strike/>
          <w:sz w:val="22"/>
          <w:szCs w:val="22"/>
        </w:rPr>
      </w:pPr>
    </w:p>
    <w:p w:rsidR="0061797D" w:rsidRDefault="00DC7727">
      <w:pPr>
        <w:jc w:val="both"/>
      </w:pPr>
      <w:r>
        <w:rPr>
          <w:rFonts w:ascii="Times New Roman" w:hAnsi="Times New Roman"/>
          <w:strike/>
          <w:sz w:val="22"/>
          <w:szCs w:val="22"/>
        </w:rPr>
        <w:t>Considerando que o Livro 2 da Tabela de Honorários oficial do CAU/BR, aprovada pela Resolução CAU/BR nº 76/2014, conceitua a atividade 1.9.5 - Projeto de Sistema de Coleta de Resíduos Sólid</w:t>
      </w:r>
      <w:r>
        <w:rPr>
          <w:rFonts w:ascii="Times New Roman" w:hAnsi="Times New Roman"/>
          <w:strike/>
          <w:sz w:val="22"/>
          <w:szCs w:val="22"/>
        </w:rPr>
        <w:t>os  como sendo o “</w:t>
      </w:r>
      <w:r>
        <w:rPr>
          <w:rFonts w:ascii="Times New Roman" w:hAnsi="Times New Roman"/>
          <w:i/>
          <w:strike/>
          <w:sz w:val="22"/>
          <w:szCs w:val="22"/>
        </w:rPr>
        <w:t>Projeto que busca o destino mais adequado para os resíduos sólidos gerados nas áreas urbanas e o tratamento desses resíduos de forma sustentável para melhor conservação do meio ambiente.”</w:t>
      </w:r>
    </w:p>
    <w:p w:rsidR="0061797D" w:rsidRDefault="0061797D">
      <w:pPr>
        <w:jc w:val="both"/>
        <w:rPr>
          <w:rFonts w:ascii="Times New Roman" w:eastAsia="Times New Roman" w:hAnsi="Times New Roman"/>
          <w:strike/>
          <w:sz w:val="22"/>
          <w:szCs w:val="22"/>
          <w:lang w:eastAsia="pt-BR"/>
        </w:rPr>
      </w:pPr>
    </w:p>
    <w:p w:rsidR="0061797D" w:rsidRDefault="00DC7727">
      <w:pPr>
        <w:jc w:val="both"/>
      </w:pPr>
      <w:r>
        <w:rPr>
          <w:rFonts w:ascii="Times New Roman" w:hAnsi="Times New Roman"/>
          <w:strike/>
          <w:sz w:val="22"/>
          <w:szCs w:val="22"/>
        </w:rPr>
        <w:t>Considerando que a NBR 8419:1992 define aterro sa</w:t>
      </w:r>
      <w:r>
        <w:rPr>
          <w:rFonts w:ascii="Times New Roman" w:hAnsi="Times New Roman"/>
          <w:strike/>
          <w:sz w:val="22"/>
          <w:szCs w:val="22"/>
        </w:rPr>
        <w:t xml:space="preserve">nitário de resíduos sólidos urbanos como </w:t>
      </w:r>
      <w:r>
        <w:rPr>
          <w:rFonts w:ascii="Times New Roman" w:hAnsi="Times New Roman"/>
          <w:i/>
          <w:strike/>
          <w:sz w:val="22"/>
          <w:szCs w:val="22"/>
        </w:rPr>
        <w:t xml:space="preserve">“técnica de disposição de resíduos sólidos urbanos no solo, sem causar danos à saúde pública e à sua segurança, minimizando os impactos ambientais, método este que </w:t>
      </w:r>
      <w:r>
        <w:rPr>
          <w:rFonts w:ascii="Times New Roman" w:hAnsi="Times New Roman"/>
          <w:b/>
          <w:i/>
          <w:strike/>
          <w:sz w:val="22"/>
          <w:szCs w:val="22"/>
        </w:rPr>
        <w:t>utiliza princípios de engenharia</w:t>
      </w:r>
      <w:r>
        <w:rPr>
          <w:rFonts w:ascii="Times New Roman" w:hAnsi="Times New Roman"/>
          <w:i/>
          <w:strike/>
          <w:sz w:val="22"/>
          <w:szCs w:val="22"/>
        </w:rPr>
        <w:t xml:space="preserve"> para confinar os r</w:t>
      </w:r>
      <w:r>
        <w:rPr>
          <w:rFonts w:ascii="Times New Roman" w:hAnsi="Times New Roman"/>
          <w:i/>
          <w:strike/>
          <w:sz w:val="22"/>
          <w:szCs w:val="22"/>
        </w:rPr>
        <w:t xml:space="preserve">esíduos sólidos à menor área possível e reduzi-los ao menor volume permissível, cobrindo-os com uma camada de terra na conclusão de cada jornada de trabalho, ou a intervalos menores, se necessário.”; </w:t>
      </w:r>
    </w:p>
    <w:p w:rsidR="0061797D" w:rsidRDefault="0061797D">
      <w:pPr>
        <w:autoSpaceDE w:val="0"/>
        <w:jc w:val="both"/>
        <w:rPr>
          <w:rFonts w:ascii="Times New Roman" w:hAnsi="Times New Roman"/>
          <w:strike/>
          <w:sz w:val="22"/>
          <w:szCs w:val="22"/>
        </w:rPr>
      </w:pPr>
    </w:p>
    <w:p w:rsidR="0061797D" w:rsidRDefault="00DC7727">
      <w:pPr>
        <w:jc w:val="both"/>
        <w:rPr>
          <w:rFonts w:ascii="Times New Roman" w:hAnsi="Times New Roman"/>
          <w:b/>
          <w:strike/>
          <w:sz w:val="22"/>
          <w:szCs w:val="22"/>
          <w:lang w:eastAsia="pt-BR"/>
        </w:rPr>
      </w:pPr>
      <w:r>
        <w:rPr>
          <w:rFonts w:ascii="Times New Roman" w:hAnsi="Times New Roman"/>
          <w:b/>
          <w:strike/>
          <w:sz w:val="22"/>
          <w:szCs w:val="22"/>
          <w:lang w:eastAsia="pt-BR"/>
        </w:rPr>
        <w:t>DELIBERA:</w:t>
      </w:r>
    </w:p>
    <w:p w:rsidR="0061797D" w:rsidRDefault="0061797D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61797D" w:rsidRDefault="00DC7727">
      <w:pPr>
        <w:spacing w:after="5pt"/>
        <w:jc w:val="both"/>
        <w:rPr>
          <w:rFonts w:ascii="Times New Roman" w:hAnsi="Times New Roman"/>
          <w:strike/>
          <w:sz w:val="22"/>
          <w:szCs w:val="22"/>
        </w:rPr>
      </w:pPr>
      <w:r>
        <w:rPr>
          <w:rFonts w:ascii="Times New Roman" w:hAnsi="Times New Roman"/>
          <w:strike/>
          <w:sz w:val="22"/>
          <w:szCs w:val="22"/>
        </w:rPr>
        <w:t xml:space="preserve">1 – Aprovar o entendimento de que os </w:t>
      </w:r>
      <w:r>
        <w:rPr>
          <w:rFonts w:ascii="Times New Roman" w:hAnsi="Times New Roman"/>
          <w:strike/>
          <w:sz w:val="22"/>
          <w:szCs w:val="22"/>
        </w:rPr>
        <w:t>arquitetos e urbanistas possuem atribuição para assumirem a responsabilidade técnica por projeto e implantação de sistemas de coleta, transporte, disposição final de resíduos sólidos domiciliares e destinação ambientalmente adequada de resíduos sólidos rec</w:t>
      </w:r>
      <w:r>
        <w:rPr>
          <w:rFonts w:ascii="Times New Roman" w:hAnsi="Times New Roman"/>
          <w:strike/>
          <w:sz w:val="22"/>
          <w:szCs w:val="22"/>
        </w:rPr>
        <w:t xml:space="preserve">icláveis (não industriais); </w:t>
      </w:r>
    </w:p>
    <w:p w:rsidR="0061797D" w:rsidRDefault="00DC7727">
      <w:pPr>
        <w:spacing w:after="5pt"/>
        <w:jc w:val="both"/>
        <w:rPr>
          <w:rFonts w:ascii="Times New Roman" w:hAnsi="Times New Roman"/>
          <w:strike/>
          <w:sz w:val="22"/>
          <w:szCs w:val="22"/>
        </w:rPr>
      </w:pPr>
      <w:r>
        <w:rPr>
          <w:rFonts w:ascii="Times New Roman" w:hAnsi="Times New Roman"/>
          <w:strike/>
          <w:sz w:val="22"/>
          <w:szCs w:val="22"/>
        </w:rPr>
        <w:t xml:space="preserve">2 -  Aprovar o entendimento de que os arquitetos e urbanistas não possuem atribuição para assumirem a responsabilidade técnica por “execução das obras civis de ampliação e operação do aterro sanitário” porque essas obras </w:t>
      </w:r>
      <w:r>
        <w:rPr>
          <w:rFonts w:ascii="Times New Roman" w:hAnsi="Times New Roman"/>
          <w:strike/>
          <w:sz w:val="22"/>
          <w:szCs w:val="22"/>
        </w:rPr>
        <w:t>envolvem sistemas que utilizam princípios específicos da engenharia, como os geotécnicos, de coleta e tratamento de gases, de impermeabilização de solo, de tratamento de chorume, entre outros;  e</w:t>
      </w:r>
    </w:p>
    <w:p w:rsidR="0061797D" w:rsidRDefault="00DC7727">
      <w:pPr>
        <w:spacing w:after="5pt"/>
        <w:jc w:val="both"/>
        <w:rPr>
          <w:rFonts w:ascii="Times New Roman" w:hAnsi="Times New Roman"/>
          <w:strike/>
          <w:sz w:val="22"/>
          <w:szCs w:val="22"/>
        </w:rPr>
      </w:pPr>
      <w:r>
        <w:rPr>
          <w:rFonts w:ascii="Times New Roman" w:hAnsi="Times New Roman"/>
          <w:strike/>
          <w:sz w:val="22"/>
          <w:szCs w:val="22"/>
        </w:rPr>
        <w:t>3 – Solicitar à Presidência do CAU/BR o encaminhamento desta</w:t>
      </w:r>
      <w:r>
        <w:rPr>
          <w:rFonts w:ascii="Times New Roman" w:hAnsi="Times New Roman"/>
          <w:strike/>
          <w:sz w:val="22"/>
          <w:szCs w:val="22"/>
        </w:rPr>
        <w:t xml:space="preserve"> Deliberação ao CAU/SC e também à coordenação da RIA para divulgação e orientação dos CAU/UF e seus canais de atendimento.</w:t>
      </w:r>
    </w:p>
    <w:p w:rsidR="0061797D" w:rsidRDefault="0061797D">
      <w:pPr>
        <w:rPr>
          <w:rFonts w:ascii="Times New Roman" w:hAnsi="Times New Roman"/>
          <w:strike/>
          <w:sz w:val="22"/>
          <w:szCs w:val="22"/>
          <w:lang w:eastAsia="pt-BR"/>
        </w:rPr>
      </w:pPr>
    </w:p>
    <w:p w:rsidR="0061797D" w:rsidRDefault="00DC7727">
      <w:pPr>
        <w:jc w:val="center"/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t>Brasília - DF, 13 de abril de 2018.</w:t>
      </w:r>
    </w:p>
    <w:p w:rsidR="0061797D" w:rsidRDefault="0061797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61797D" w:rsidRDefault="0061797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61797D" w:rsidRDefault="00DC7727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MARIA ELIANA JUBÉ RIBEIRO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61797D" w:rsidRDefault="00DC7727">
      <w:pPr>
        <w:tabs>
          <w:tab w:val="start" w:pos="232.55pt"/>
        </w:tabs>
        <w:autoSpaceDE w:val="0"/>
      </w:pPr>
      <w:r>
        <w:rPr>
          <w:rFonts w:ascii="Times New Roman" w:eastAsia="Calibri" w:hAnsi="Times New Roman"/>
          <w:sz w:val="22"/>
          <w:szCs w:val="22"/>
          <w:lang w:eastAsia="pt-BR"/>
        </w:rPr>
        <w:t>Coordenadora</w:t>
      </w:r>
      <w:r>
        <w:rPr>
          <w:rFonts w:ascii="Times New Roman" w:hAnsi="Times New Roman"/>
          <w:caps/>
          <w:spacing w:val="4"/>
          <w:sz w:val="22"/>
          <w:szCs w:val="22"/>
          <w:lang w:eastAsia="pt-BR"/>
        </w:rPr>
        <w:tab/>
      </w:r>
    </w:p>
    <w:p w:rsidR="0061797D" w:rsidRDefault="0061797D">
      <w:pPr>
        <w:autoSpaceDE w:val="0"/>
        <w:rPr>
          <w:rFonts w:ascii="Times New Roman" w:hAnsi="Times New Roman"/>
          <w:b/>
          <w:caps/>
          <w:spacing w:val="4"/>
          <w:sz w:val="22"/>
          <w:szCs w:val="22"/>
        </w:rPr>
      </w:pPr>
    </w:p>
    <w:p w:rsidR="0061797D" w:rsidRDefault="00DC7727">
      <w:pPr>
        <w:tabs>
          <w:tab w:val="start" w:pos="226.80pt"/>
        </w:tabs>
        <w:autoSpaceDE w:val="0"/>
      </w:pPr>
      <w:r>
        <w:rPr>
          <w:rFonts w:ascii="Times New Roman" w:hAnsi="Times New Roman"/>
          <w:b/>
          <w:caps/>
          <w:spacing w:val="4"/>
          <w:sz w:val="22"/>
          <w:szCs w:val="22"/>
        </w:rPr>
        <w:t>ricardo martins</w:t>
      </w:r>
      <w:r>
        <w:rPr>
          <w:rFonts w:ascii="Times New Roman" w:hAnsi="Times New Roman"/>
          <w:b/>
          <w:caps/>
          <w:spacing w:val="4"/>
          <w:sz w:val="22"/>
          <w:szCs w:val="22"/>
        </w:rPr>
        <w:t xml:space="preserve"> da fonseca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61797D" w:rsidRDefault="00DC7727">
      <w:pPr>
        <w:tabs>
          <w:tab w:val="start" w:pos="232.55pt"/>
        </w:tabs>
        <w:autoSpaceDE w:val="0"/>
      </w:pPr>
      <w:r>
        <w:rPr>
          <w:rFonts w:ascii="Times New Roman" w:hAnsi="Times New Roman"/>
          <w:sz w:val="22"/>
          <w:szCs w:val="22"/>
          <w:lang w:eastAsia="pt-BR"/>
        </w:rPr>
        <w:t>Coordenador Adjunto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61797D" w:rsidRDefault="0061797D">
      <w:pPr>
        <w:tabs>
          <w:tab w:val="start" w:pos="232.55pt"/>
        </w:tabs>
        <w:autoSpaceDE w:val="0"/>
        <w:rPr>
          <w:rFonts w:ascii="Times New Roman" w:hAnsi="Times New Roman"/>
          <w:caps/>
          <w:spacing w:val="4"/>
          <w:sz w:val="22"/>
          <w:szCs w:val="22"/>
          <w:lang w:eastAsia="pt-BR"/>
        </w:rPr>
      </w:pPr>
    </w:p>
    <w:p w:rsidR="0061797D" w:rsidRDefault="00DC7727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WERNER DEIMLING ALBUQUERQUE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61797D" w:rsidRDefault="00DC7727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61797D" w:rsidRDefault="0061797D"/>
    <w:p w:rsidR="0061797D" w:rsidRDefault="00DC7727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 xml:space="preserve">FERNANDO MÁRCIO </w:t>
      </w:r>
      <w:r>
        <w:rPr>
          <w:b/>
        </w:rPr>
        <w:t>DE OLIVEIRA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61797D" w:rsidRDefault="00DC7727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61797D" w:rsidRDefault="0061797D"/>
    <w:p w:rsidR="0061797D" w:rsidRDefault="00DC7727">
      <w:pPr>
        <w:tabs>
          <w:tab w:val="center" w:pos="212.60pt"/>
          <w:tab w:val="end" w:pos="425.20pt"/>
        </w:tabs>
      </w:pPr>
      <w:r>
        <w:rPr>
          <w:rFonts w:ascii="Times New Roman" w:eastAsia="Calibri" w:hAnsi="Times New Roman"/>
          <w:b/>
          <w:sz w:val="22"/>
          <w:szCs w:val="22"/>
        </w:rPr>
        <w:t>TÂNIA MARIA MARINHO GUSMÃO</w:t>
      </w:r>
      <w:r>
        <w:rPr>
          <w:rFonts w:ascii="Times New Roman" w:eastAsia="Calibri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____________________________________</w:t>
      </w:r>
    </w:p>
    <w:p w:rsidR="0061797D" w:rsidRDefault="00DC7727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</w:p>
    <w:sectPr w:rsidR="0061797D">
      <w:headerReference w:type="default" r:id="rId6"/>
      <w:footerReference w:type="default" r:id="rId7"/>
      <w:pgSz w:w="595pt" w:h="842pt"/>
      <w:pgMar w:top="99.25pt" w:right="56.40pt" w:bottom="77.95pt" w:left="77.95pt" w:header="66.35pt" w:footer="29.20pt" w:gutter="0pt"/>
      <w:cols w:space="36pt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00000" w:rsidRDefault="00DC7727">
      <w:r>
        <w:separator/>
      </w:r>
    </w:p>
  </w:endnote>
  <w:endnote w:type="continuationSeparator" w:id="0">
    <w:p w:rsidR="00000000" w:rsidRDefault="00DC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B36734" w:rsidRDefault="00DC7727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6553779</wp:posOffset>
          </wp:positionH>
          <wp:positionV relativeFrom="paragraph">
            <wp:posOffset>-196778</wp:posOffset>
          </wp:positionV>
          <wp:extent cx="676271" cy="229230"/>
          <wp:effectExtent l="0" t="0" r="9529" b="18420"/>
          <wp:wrapSquare wrapText="bothSides"/>
          <wp:docPr id="2" name="Caixa de Texto 2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676271" cy="229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wp:spPr>
                <wp:txbx>
                  <wne:txbxContent>
                    <w:p w:rsidR="00B36734" w:rsidRDefault="00DC7727">
                      <w:pPr>
                        <w:pStyle w:val="Rodap"/>
                        <w:jc w:val="end"/>
                      </w:pP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begin"/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instrText xml:space="preserve"> PAGE </w:instrTex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separate"/>
                      </w:r>
                      <w:r>
                        <w:rPr>
                          <w:rStyle w:val="Nmerodepgina"/>
                          <w:rFonts w:ascii="Arial" w:hAnsi="Arial"/>
                          <w:noProof/>
                          <w:color w:val="296D7A"/>
                          <w:sz w:val="18"/>
                        </w:rPr>
                        <w:t>2</w: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end"/>
                      </w:r>
                    </w:p>
                  </wne:txbxContent>
                </wp:txbx>
                <wp:bodyPr vert="horz" wrap="square" lIns="0" tIns="0" rIns="0" bIns="0" anchor="t" anchorCtr="0" compatLnSpc="0">
                  <a:noAutofit/>
                </wp:bodyPr>
              </wp:wsp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-1010283</wp:posOffset>
          </wp:positionH>
          <wp:positionV relativeFrom="paragraph">
            <wp:posOffset>-517522</wp:posOffset>
          </wp:positionV>
          <wp:extent cx="7578720" cy="1078233"/>
          <wp:effectExtent l="0" t="0" r="3180" b="7617"/>
          <wp:wrapNone/>
          <wp:docPr id="3" name="Imagem 46" descr="CAU-BR-timbrado2015--rodape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00000" w:rsidRDefault="00DC7727">
      <w:r>
        <w:rPr>
          <w:color w:val="000000"/>
        </w:rPr>
        <w:separator/>
      </w:r>
    </w:p>
  </w:footnote>
  <w:footnote w:type="continuationSeparator" w:id="0">
    <w:p w:rsidR="00000000" w:rsidRDefault="00DC7727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B36734" w:rsidRDefault="00DC7727">
    <w:pPr>
      <w:pStyle w:val="Cabealho"/>
      <w:tabs>
        <w:tab w:val="clear" w:pos="216pt"/>
        <w:tab w:val="start" w:pos="144pt"/>
        <w:tab w:val="start" w:pos="306pt"/>
      </w:tabs>
      <w:ind w:start="29.35pt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-985522</wp:posOffset>
          </wp:positionH>
          <wp:positionV relativeFrom="paragraph">
            <wp:posOffset>-849633</wp:posOffset>
          </wp:positionV>
          <wp:extent cx="7539356" cy="1075050"/>
          <wp:effectExtent l="0" t="0" r="4444" b="0"/>
          <wp:wrapNone/>
          <wp:docPr id="1" name="Imagem 47" descr="CAU-BR-timbrado2015-edit-16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356" cy="1075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attachedTemplate r:id="rId1"/>
  <w:defaultTabStop w:val="36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1797D"/>
    <w:rsid w:val="0061797D"/>
    <w:rsid w:val="00DC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B3BBEE7-7137-40A6-9CB2-99500AE2205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pPr>
      <w:ind w:start="35.40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951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Pedro Martins Silva</cp:lastModifiedBy>
  <cp:revision>2</cp:revision>
  <cp:lastPrinted>2022-07-06T17:10:00Z</cp:lastPrinted>
  <dcterms:created xsi:type="dcterms:W3CDTF">2022-07-06T17:29:00Z</dcterms:created>
  <dcterms:modified xsi:type="dcterms:W3CDTF">2022-07-06T17:29:00Z</dcterms:modified>
</cp:coreProperties>
</file>