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F62FED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62FED" w:rsidRDefault="00A00798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62FED" w:rsidRDefault="00F62FED">
            <w:pPr>
              <w:widowControl w:val="0"/>
              <w:rPr>
                <w:rFonts w:ascii="Times New Roman" w:hAnsi="Times New Roman"/>
                <w:bCs/>
                <w:strike/>
                <w:sz w:val="22"/>
                <w:szCs w:val="22"/>
                <w:lang w:eastAsia="pt-BR"/>
              </w:rPr>
            </w:pPr>
          </w:p>
        </w:tc>
      </w:tr>
      <w:tr w:rsidR="00F62FED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62FED" w:rsidRDefault="00A00798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62FED" w:rsidRDefault="00A00798">
            <w:pPr>
              <w:widowControl w:val="0"/>
              <w:rPr>
                <w:rFonts w:ascii="Times New Roman" w:hAnsi="Times New Roman"/>
                <w:bCs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trike/>
                <w:sz w:val="22"/>
                <w:szCs w:val="22"/>
                <w:lang w:eastAsia="pt-BR"/>
              </w:rPr>
              <w:t>CAU/GO</w:t>
            </w:r>
          </w:p>
        </w:tc>
      </w:tr>
      <w:tr w:rsidR="00F62FED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62FED" w:rsidRDefault="00A00798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62FED" w:rsidRDefault="00A00798">
            <w:pPr>
              <w:widowControl w:val="0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Ordem do dia nº 15 da 69ª Reunião Ordinária da CEP-CAU/BR: Demanda do CAU/GO, via e-mail, solicitando esclarecimentos sobre a atribuição do 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arquiteto e urbanista para ser responsável pela manutenção de extintores</w:t>
            </w:r>
          </w:p>
        </w:tc>
      </w:tr>
    </w:tbl>
    <w:p w:rsidR="00F62FED" w:rsidRDefault="00A00798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trike/>
          <w:sz w:val="22"/>
          <w:szCs w:val="22"/>
          <w:lang w:eastAsia="pt-BR"/>
        </w:rPr>
      </w:pP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DELIBERAÇÃO Nº 028/2018 – (CEP – CAU/BR)</w:t>
      </w:r>
    </w:p>
    <w:p w:rsidR="00F62FED" w:rsidRDefault="00F62FED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F62FED" w:rsidRDefault="00A00798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trike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CAU/BR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), reunida ordinariamente em Brasília-DF, na sede do CAU/BR, nos dias 8 e 9 de março de </w:t>
      </w:r>
      <w:r>
        <w:rPr>
          <w:rFonts w:ascii="Times New Roman" w:hAnsi="Times New Roman"/>
          <w:strike/>
          <w:sz w:val="22"/>
          <w:szCs w:val="22"/>
          <w:lang w:eastAsia="pt-BR"/>
        </w:rPr>
        <w:t>2018, no uso das competências que lhe conferem o art. 97, 101 e 102 do Regimento Interno do CAU/BR, após análise do assunto em epígrafe, e</w:t>
      </w:r>
    </w:p>
    <w:p w:rsidR="00F62FED" w:rsidRDefault="00F62FED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F62FED" w:rsidRDefault="00A00798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 xml:space="preserve">Considerando o recebimento de questionamento do CAU/GO, via e-mail, se a “manutenção e recarga de extintores” seria </w:t>
      </w:r>
      <w:r>
        <w:rPr>
          <w:rFonts w:ascii="Times New Roman" w:hAnsi="Times New Roman"/>
          <w:strike/>
          <w:sz w:val="22"/>
          <w:szCs w:val="22"/>
          <w:lang w:eastAsia="pt-BR"/>
        </w:rPr>
        <w:t>uma a atribuição profissional de arquitetos e urbanistas;</w:t>
      </w:r>
    </w:p>
    <w:p w:rsidR="00F62FED" w:rsidRDefault="00F62FED">
      <w:pPr>
        <w:jc w:val="both"/>
        <w:rPr>
          <w:rFonts w:ascii="Times New Roman" w:hAnsi="Times New Roman"/>
          <w:strike/>
          <w:sz w:val="22"/>
          <w:szCs w:val="22"/>
          <w:shd w:val="clear" w:color="auto" w:fill="FFFF00"/>
          <w:lang w:eastAsia="pt-BR"/>
        </w:rPr>
      </w:pPr>
    </w:p>
    <w:p w:rsidR="00F62FED" w:rsidRDefault="00A00798">
      <w:pPr>
        <w:jc w:val="both"/>
      </w:pPr>
      <w:r>
        <w:rPr>
          <w:rFonts w:ascii="Times New Roman" w:hAnsi="Times New Roman"/>
          <w:strike/>
          <w:sz w:val="22"/>
          <w:szCs w:val="22"/>
        </w:rPr>
        <w:t>Considerando a Resolução CAU/BR n°21/2012, que dispõe que os arquitetos e urbanistas podem ser responsáveis pelo projeto de instalações prediais, bem como de sistemas prediais contra incêndio (</w:t>
      </w:r>
      <w:r>
        <w:rPr>
          <w:rFonts w:ascii="Times New Roman" w:hAnsi="Times New Roman"/>
          <w:strike/>
          <w:sz w:val="22"/>
          <w:szCs w:val="22"/>
        </w:rPr>
        <w:t xml:space="preserve">atividades </w:t>
      </w:r>
      <w:r>
        <w:rPr>
          <w:rFonts w:ascii="Times New Roman" w:hAnsi="Times New Roman"/>
          <w:strike/>
          <w:color w:val="000000"/>
          <w:sz w:val="22"/>
          <w:szCs w:val="22"/>
        </w:rPr>
        <w:t xml:space="preserve">1.5.5 e </w:t>
      </w:r>
      <w:r>
        <w:rPr>
          <w:rFonts w:ascii="Times New Roman" w:hAnsi="Times New Roman"/>
          <w:b/>
          <w:bCs/>
          <w:strike/>
          <w:color w:val="000000"/>
          <w:sz w:val="22"/>
          <w:szCs w:val="22"/>
        </w:rPr>
        <w:t> </w:t>
      </w:r>
      <w:r>
        <w:rPr>
          <w:rFonts w:ascii="Times New Roman" w:hAnsi="Times New Roman"/>
          <w:strike/>
          <w:color w:val="000000"/>
          <w:sz w:val="22"/>
          <w:szCs w:val="22"/>
        </w:rPr>
        <w:t xml:space="preserve">2.5.5.  Projeto e execução </w:t>
      </w:r>
      <w:r>
        <w:rPr>
          <w:rFonts w:ascii="Times New Roman" w:hAnsi="Times New Roman"/>
          <w:strike/>
          <w:color w:val="000000"/>
          <w:sz w:val="22"/>
          <w:szCs w:val="22"/>
          <w:u w:val="single"/>
        </w:rPr>
        <w:t>de instalações prediais</w:t>
      </w:r>
      <w:r>
        <w:rPr>
          <w:rFonts w:ascii="Times New Roman" w:hAnsi="Times New Roman"/>
          <w:strike/>
          <w:color w:val="000000"/>
          <w:sz w:val="22"/>
          <w:szCs w:val="22"/>
        </w:rPr>
        <w:t xml:space="preserve"> de </w:t>
      </w:r>
      <w:r>
        <w:rPr>
          <w:rFonts w:ascii="Times New Roman" w:hAnsi="Times New Roman"/>
          <w:b/>
          <w:bCs/>
          <w:strike/>
          <w:color w:val="000000"/>
          <w:sz w:val="22"/>
          <w:szCs w:val="22"/>
        </w:rPr>
        <w:t>prevenção e combate a incêndio</w:t>
      </w:r>
      <w:r>
        <w:rPr>
          <w:rFonts w:ascii="Times New Roman" w:hAnsi="Times New Roman"/>
          <w:strike/>
          <w:color w:val="000000"/>
          <w:sz w:val="22"/>
          <w:szCs w:val="22"/>
        </w:rPr>
        <w:t xml:space="preserve"> e 1.5.6. e 2.5.6.  Projeto e execução de </w:t>
      </w:r>
      <w:r>
        <w:rPr>
          <w:rFonts w:ascii="Times New Roman" w:hAnsi="Times New Roman"/>
          <w:strike/>
          <w:color w:val="000000"/>
          <w:sz w:val="22"/>
          <w:szCs w:val="22"/>
          <w:u w:val="single"/>
        </w:rPr>
        <w:t>sistemas prediais</w:t>
      </w:r>
      <w:r>
        <w:rPr>
          <w:rFonts w:ascii="Times New Roman" w:hAnsi="Times New Roman"/>
          <w:strike/>
          <w:color w:val="000000"/>
          <w:sz w:val="22"/>
          <w:szCs w:val="22"/>
        </w:rPr>
        <w:t xml:space="preserve"> de </w:t>
      </w:r>
      <w:r>
        <w:rPr>
          <w:rFonts w:ascii="Times New Roman" w:hAnsi="Times New Roman"/>
          <w:b/>
          <w:bCs/>
          <w:strike/>
          <w:color w:val="000000"/>
          <w:sz w:val="22"/>
          <w:szCs w:val="22"/>
        </w:rPr>
        <w:t>proteção contra incêndios e catástrofes);</w:t>
      </w:r>
    </w:p>
    <w:p w:rsidR="00F62FED" w:rsidRDefault="00F62FED">
      <w:pPr>
        <w:jc w:val="both"/>
        <w:rPr>
          <w:rFonts w:ascii="Times New Roman" w:hAnsi="Times New Roman"/>
          <w:strike/>
          <w:sz w:val="22"/>
          <w:szCs w:val="22"/>
        </w:rPr>
      </w:pPr>
    </w:p>
    <w:p w:rsidR="00F62FED" w:rsidRDefault="00A00798">
      <w:pPr>
        <w:jc w:val="both"/>
      </w:pPr>
      <w:r>
        <w:rPr>
          <w:rFonts w:ascii="Times New Roman" w:hAnsi="Times New Roman"/>
          <w:strike/>
          <w:sz w:val="22"/>
          <w:szCs w:val="22"/>
        </w:rPr>
        <w:t>Considerando que dentro de “</w:t>
      </w:r>
      <w:r>
        <w:rPr>
          <w:rFonts w:ascii="Times New Roman" w:hAnsi="Times New Roman"/>
          <w:strike/>
          <w:color w:val="000000"/>
          <w:sz w:val="22"/>
          <w:szCs w:val="22"/>
          <w:u w:val="single"/>
        </w:rPr>
        <w:t>sistemas prediais</w:t>
      </w:r>
      <w:r>
        <w:rPr>
          <w:rFonts w:ascii="Times New Roman" w:hAnsi="Times New Roman"/>
          <w:strike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trike/>
          <w:color w:val="000000"/>
          <w:sz w:val="22"/>
          <w:szCs w:val="22"/>
        </w:rPr>
        <w:t xml:space="preserve">de </w:t>
      </w:r>
      <w:r>
        <w:rPr>
          <w:rFonts w:ascii="Times New Roman" w:hAnsi="Times New Roman"/>
          <w:b/>
          <w:bCs/>
          <w:strike/>
          <w:color w:val="000000"/>
          <w:sz w:val="22"/>
          <w:szCs w:val="22"/>
        </w:rPr>
        <w:t>proteção contra incêndios e catástrofes”</w:t>
      </w:r>
      <w:r>
        <w:rPr>
          <w:rFonts w:ascii="Times New Roman" w:hAnsi="Times New Roman"/>
          <w:strike/>
          <w:sz w:val="22"/>
          <w:szCs w:val="22"/>
        </w:rPr>
        <w:t>, encontra-se o “Sistema Preventivo por Extintores”. Cabendo aos arquitetos e urbanistas, nesta atividade, projetarem e executarem esse tipo de sistema, especificando o número necessário, o tipo e a capacidade dos</w:t>
      </w:r>
      <w:r>
        <w:rPr>
          <w:rFonts w:ascii="Times New Roman" w:hAnsi="Times New Roman"/>
          <w:strike/>
          <w:sz w:val="22"/>
          <w:szCs w:val="22"/>
        </w:rPr>
        <w:t xml:space="preserve"> extintores empregados no projeto, bem como a localização destes equipamentos, de acordo com as normas vigentes.</w:t>
      </w:r>
    </w:p>
    <w:p w:rsidR="00F62FED" w:rsidRDefault="00F62FED">
      <w:pPr>
        <w:jc w:val="both"/>
        <w:rPr>
          <w:rFonts w:ascii="Times New Roman" w:hAnsi="Times New Roman"/>
          <w:strike/>
          <w:sz w:val="22"/>
          <w:szCs w:val="22"/>
        </w:rPr>
      </w:pPr>
    </w:p>
    <w:p w:rsidR="00F62FED" w:rsidRDefault="00A00798">
      <w:pPr>
        <w:jc w:val="both"/>
      </w:pPr>
      <w:r>
        <w:rPr>
          <w:rFonts w:ascii="Times New Roman" w:hAnsi="Times New Roman"/>
          <w:strike/>
          <w:sz w:val="22"/>
          <w:szCs w:val="22"/>
        </w:rPr>
        <w:t xml:space="preserve">Considerando o entendimento do CONFEA de que o profissional habilitado para realizar os procedimentos de manutenção e recarga de extintores é </w:t>
      </w:r>
      <w:r>
        <w:rPr>
          <w:rFonts w:ascii="Times New Roman" w:hAnsi="Times New Roman"/>
          <w:b/>
          <w:strike/>
          <w:sz w:val="22"/>
          <w:szCs w:val="22"/>
        </w:rPr>
        <w:t>o engenheiro mecânico</w:t>
      </w:r>
      <w:r>
        <w:rPr>
          <w:rFonts w:ascii="Times New Roman" w:hAnsi="Times New Roman"/>
          <w:strike/>
          <w:sz w:val="22"/>
          <w:szCs w:val="22"/>
        </w:rPr>
        <w:t>, conforme previsto na Resolução CONFEA nº 218, de 29 de junho de 1973; como também a Resolução CONFEA nº 1010, de 22 de agosto de 2005, que em seu Anexo II prevê que as atividades de Vistoria, Perícia, Parecer Técnico, Ensaio, Execuçã</w:t>
      </w:r>
      <w:r>
        <w:rPr>
          <w:rFonts w:ascii="Times New Roman" w:hAnsi="Times New Roman"/>
          <w:strike/>
          <w:sz w:val="22"/>
          <w:szCs w:val="22"/>
        </w:rPr>
        <w:t>o de Manutenção de Vasos de Pressão  (o extintor de incêndio é um vaso de pressão) estão compreendidas no Campo de Atuação da Modalidade Industrial – Engenharia Mecânica</w:t>
      </w:r>
    </w:p>
    <w:p w:rsidR="00F62FED" w:rsidRDefault="00F62FED">
      <w:pPr>
        <w:jc w:val="both"/>
        <w:rPr>
          <w:rFonts w:ascii="Times New Roman" w:hAnsi="Times New Roman"/>
          <w:strike/>
          <w:sz w:val="22"/>
          <w:szCs w:val="22"/>
        </w:rPr>
      </w:pPr>
    </w:p>
    <w:p w:rsidR="00F62FED" w:rsidRDefault="00F62FED">
      <w:pPr>
        <w:jc w:val="both"/>
        <w:rPr>
          <w:rFonts w:ascii="Times New Roman" w:hAnsi="Times New Roman"/>
          <w:b/>
          <w:strike/>
          <w:sz w:val="22"/>
          <w:szCs w:val="22"/>
          <w:lang w:eastAsia="pt-BR"/>
        </w:rPr>
      </w:pPr>
    </w:p>
    <w:p w:rsidR="00F62FED" w:rsidRDefault="00A00798">
      <w:pPr>
        <w:jc w:val="both"/>
        <w:rPr>
          <w:rFonts w:ascii="Times New Roman" w:hAnsi="Times New Roman"/>
          <w:b/>
          <w:strike/>
          <w:sz w:val="22"/>
          <w:szCs w:val="22"/>
          <w:lang w:eastAsia="pt-BR"/>
        </w:rPr>
      </w:pPr>
      <w:r>
        <w:rPr>
          <w:rFonts w:ascii="Times New Roman" w:hAnsi="Times New Roman"/>
          <w:b/>
          <w:strike/>
          <w:sz w:val="22"/>
          <w:szCs w:val="22"/>
          <w:lang w:eastAsia="pt-BR"/>
        </w:rPr>
        <w:t>DELIBERA:</w:t>
      </w:r>
    </w:p>
    <w:p w:rsidR="00F62FED" w:rsidRDefault="00F62FED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F62FED" w:rsidRDefault="00A00798">
      <w:pPr>
        <w:pStyle w:val="PargrafodaLista"/>
        <w:ind w:start="0pt"/>
        <w:jc w:val="both"/>
        <w:rPr>
          <w:rFonts w:ascii="Times New Roman" w:hAnsi="Times New Roman"/>
          <w:strike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strike/>
          <w:color w:val="000000"/>
          <w:sz w:val="22"/>
          <w:szCs w:val="22"/>
          <w:shd w:val="clear" w:color="auto" w:fill="FFFFFF"/>
        </w:rPr>
        <w:t xml:space="preserve">1 – Esclarecer o CAU/GO que a manutenção e recarga de extintores não é </w:t>
      </w:r>
      <w:r>
        <w:rPr>
          <w:rFonts w:ascii="Times New Roman" w:hAnsi="Times New Roman"/>
          <w:strike/>
          <w:color w:val="000000"/>
          <w:sz w:val="22"/>
          <w:szCs w:val="22"/>
          <w:shd w:val="clear" w:color="auto" w:fill="FFFFFF"/>
        </w:rPr>
        <w:t>uma atividade técnica de Arquitetura e Urbanismo e não envolve nenhum dos campos de atuação da profissão dispostos no Art. 2 da Resolução CAU/BR n° 21 e no Art, 2º da Lei 12.378, sendo esta atividade de competência de engenheiros mecânicos.</w:t>
      </w:r>
    </w:p>
    <w:p w:rsidR="00F62FED" w:rsidRDefault="00F62FED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F62FED" w:rsidRDefault="00F62FED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F62FED" w:rsidRDefault="00A00798">
      <w:pPr>
        <w:jc w:val="center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Brasília - DF</w:t>
      </w:r>
      <w:r>
        <w:rPr>
          <w:rFonts w:ascii="Times New Roman" w:hAnsi="Times New Roman"/>
          <w:strike/>
          <w:sz w:val="22"/>
          <w:szCs w:val="22"/>
          <w:lang w:eastAsia="pt-BR"/>
        </w:rPr>
        <w:t>, 9 de março de 2018.</w:t>
      </w:r>
    </w:p>
    <w:p w:rsidR="00F62FED" w:rsidRDefault="00F62FED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F62FED" w:rsidRDefault="00F62FED">
      <w:pPr>
        <w:ind w:firstLine="85.05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F62FED" w:rsidRDefault="00A00798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F62FED" w:rsidRDefault="00A00798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F62FED" w:rsidRDefault="00F62FED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  <w:shd w:val="clear" w:color="auto" w:fill="FFFF00"/>
        </w:rPr>
      </w:pPr>
    </w:p>
    <w:p w:rsidR="00F62FED" w:rsidRDefault="00A00798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caps/>
          <w:spacing w:val="4"/>
          <w:sz w:val="22"/>
          <w:szCs w:val="22"/>
        </w:rPr>
        <w:t>ricardo martins da 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F62FED" w:rsidRDefault="00A00798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F62FED" w:rsidRDefault="00F62FED">
      <w:pPr>
        <w:tabs>
          <w:tab w:val="start" w:pos="232.55pt"/>
        </w:tabs>
        <w:autoSpaceDE w:val="0"/>
        <w:rPr>
          <w:rFonts w:ascii="Times New Roman" w:hAnsi="Times New Roman"/>
          <w:caps/>
          <w:spacing w:val="4"/>
          <w:sz w:val="22"/>
          <w:szCs w:val="22"/>
          <w:shd w:val="clear" w:color="auto" w:fill="FFFF00"/>
          <w:lang w:eastAsia="pt-BR"/>
        </w:rPr>
      </w:pPr>
    </w:p>
    <w:p w:rsidR="00F62FED" w:rsidRDefault="00A00798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F62FED" w:rsidRDefault="00A00798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F62FED" w:rsidRDefault="00F62FED"/>
    <w:p w:rsidR="00F62FED" w:rsidRDefault="00A00798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 xml:space="preserve">FERNANDO MÁRCIO </w:t>
      </w:r>
      <w:r>
        <w:rPr>
          <w:b/>
        </w:rPr>
        <w:t>DE 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F62FED" w:rsidRDefault="00A00798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F62FED" w:rsidRDefault="00F62FED">
      <w:pPr>
        <w:rPr>
          <w:shd w:val="clear" w:color="auto" w:fill="FFFF00"/>
        </w:rPr>
      </w:pPr>
    </w:p>
    <w:p w:rsidR="00F62FED" w:rsidRDefault="00A00798">
      <w:pPr>
        <w:tabs>
          <w:tab w:val="center" w:pos="212.6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TÂNIA MARIA MARINHO GUSMÃO</w:t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____________________________________</w:t>
      </w:r>
    </w:p>
    <w:p w:rsidR="00F62FED" w:rsidRDefault="00A00798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F62FED" w:rsidRDefault="00F62FED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tabs>
          <w:tab w:val="start" w:pos="232.55pt"/>
        </w:tabs>
      </w:pPr>
    </w:p>
    <w:p w:rsidR="00F62FED" w:rsidRDefault="00F62FED">
      <w:pPr>
        <w:rPr>
          <w:rFonts w:ascii="Times New Roman" w:hAnsi="Times New Roman"/>
          <w:sz w:val="22"/>
          <w:szCs w:val="22"/>
        </w:rPr>
      </w:pPr>
    </w:p>
    <w:sectPr w:rsidR="00F62FED">
      <w:headerReference w:type="default" r:id="rId6"/>
      <w:footerReference w:type="default" r:id="rId7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A00798">
      <w:r>
        <w:separator/>
      </w:r>
    </w:p>
  </w:endnote>
  <w:endnote w:type="continuationSeparator" w:id="0">
    <w:p w:rsidR="00000000" w:rsidRDefault="00A0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246293" w:rsidRDefault="00A0079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271" cy="229230"/>
          <wp:effectExtent l="0" t="0" r="9529" b="1842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271" cy="229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wp:spPr>
                <wp:txbx>
                  <wne:txbxContent>
                    <w:p w:rsidR="00246293" w:rsidRDefault="00A00798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vert="horz" wrap="square" lIns="0" tIns="0" rIns="0" bIns="0" anchor="t" anchorCtr="0" compatLnSpc="0">
                  <a:noAutofit/>
                </wp:bodyPr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A00798">
      <w:r>
        <w:rPr>
          <w:color w:val="000000"/>
        </w:rPr>
        <w:separator/>
      </w:r>
    </w:p>
  </w:footnote>
  <w:footnote w:type="continuationSeparator" w:id="0">
    <w:p w:rsidR="00000000" w:rsidRDefault="00A00798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246293" w:rsidRDefault="00A00798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62FED"/>
    <w:rsid w:val="00A00798"/>
    <w:rsid w:val="00F6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3B9E60-625D-46EB-96BC-33215E41615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Pedro Martins Silva</cp:lastModifiedBy>
  <cp:revision>2</cp:revision>
  <cp:lastPrinted>2018-03-09T20:41:00Z</cp:lastPrinted>
  <dcterms:created xsi:type="dcterms:W3CDTF">2022-07-06T17:29:00Z</dcterms:created>
  <dcterms:modified xsi:type="dcterms:W3CDTF">2022-07-06T17:29:00Z</dcterms:modified>
</cp:coreProperties>
</file>