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59.50pt" w:type="dxa"/>
        <w:jc w:val="center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974"/>
        <w:gridCol w:w="7216"/>
      </w:tblGrid>
      <w:tr w:rsidR="0028649A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28649A" w:rsidRDefault="006864B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28649A" w:rsidRDefault="006864B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Protocolo 787270/2019 – CAU/ES solicita consulta à CEP-CAU/BR para adequação da Deliberação nº 02/2016 da CEP-CAU/ES que aprovou uma lista de atividades de atribuição dos </w:t>
            </w:r>
            <w:r>
              <w:rPr>
                <w:rFonts w:ascii="Times New Roman" w:hAnsi="Times New Roman"/>
                <w:sz w:val="22"/>
                <w:szCs w:val="22"/>
              </w:rPr>
              <w:t>arquitetos e urbanistas relacionadas à projeto de segurança contra incêndio e pânico, tendo em vista os normativos CAU/BR.</w:t>
            </w:r>
          </w:p>
        </w:tc>
      </w:tr>
      <w:tr w:rsidR="0028649A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28649A" w:rsidRDefault="006864B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28649A" w:rsidRDefault="006864B9">
            <w:pPr>
              <w:widowControl w:val="0"/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Presidência do CAU/BR</w:t>
            </w:r>
          </w:p>
        </w:tc>
      </w:tr>
      <w:tr w:rsidR="0028649A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28649A" w:rsidRDefault="006864B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28649A" w:rsidRDefault="006864B9">
            <w:pPr>
              <w:widowControl w:val="0"/>
            </w:pPr>
            <w:r>
              <w:rPr>
                <w:rFonts w:ascii="Times New Roman" w:hAnsi="Times New Roman"/>
                <w:sz w:val="22"/>
                <w:szCs w:val="22"/>
              </w:rPr>
              <w:t>Ordem do dia nº 13 da 80ª Reunião Ordinária da CEP-CAU/BR: para apreciação e deliberação</w:t>
            </w:r>
          </w:p>
        </w:tc>
      </w:tr>
    </w:tbl>
    <w:p w:rsidR="0028649A" w:rsidRDefault="006864B9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</w:pPr>
      <w:r>
        <w:rPr>
          <w:rFonts w:ascii="Times New Roman" w:hAnsi="Times New Roman"/>
          <w:smallCaps/>
          <w:sz w:val="22"/>
          <w:szCs w:val="22"/>
          <w:lang w:eastAsia="pt-BR"/>
        </w:rPr>
        <w:t xml:space="preserve">DELIBERAÇÃO Nº 019/2019 – (CEP – CAU/BR) </w:t>
      </w:r>
    </w:p>
    <w:p w:rsidR="0028649A" w:rsidRDefault="0028649A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28649A" w:rsidRDefault="006864B9">
      <w:pPr>
        <w:jc w:val="both"/>
      </w:pPr>
      <w:r>
        <w:rPr>
          <w:rFonts w:ascii="Times New Roman" w:hAnsi="Times New Roman"/>
          <w:sz w:val="22"/>
          <w:szCs w:val="22"/>
          <w:lang w:eastAsia="pt-BR"/>
        </w:rPr>
        <w:t>A COMISSÃO DE EXERCÍCIO PROFISSIONAL – (CEP</w:t>
      </w:r>
      <w:r>
        <w:rPr>
          <w:rFonts w:ascii="Times New Roman" w:hAnsi="Times New Roman"/>
          <w:b/>
          <w:smallCaps/>
          <w:sz w:val="22"/>
          <w:szCs w:val="22"/>
          <w:lang w:eastAsia="pt-BR"/>
        </w:rPr>
        <w:t xml:space="preserve"> – </w:t>
      </w:r>
      <w:r>
        <w:rPr>
          <w:rFonts w:ascii="Times New Roman" w:hAnsi="Times New Roman"/>
          <w:smallCaps/>
          <w:sz w:val="22"/>
          <w:szCs w:val="22"/>
          <w:lang w:eastAsia="pt-BR"/>
        </w:rPr>
        <w:t>CAU/BR</w:t>
      </w:r>
      <w:r>
        <w:rPr>
          <w:rFonts w:ascii="Times New Roman" w:hAnsi="Times New Roman"/>
          <w:sz w:val="22"/>
          <w:szCs w:val="22"/>
          <w:lang w:eastAsia="pt-BR"/>
        </w:rPr>
        <w:t>), reunida ordinariamente em Brasília-DF, na sede do CAU/BR, nos dias 14 e 15 de março de 2019, no uso das competências que lhe conferem o art. 97, 101 e 102 do</w:t>
      </w:r>
      <w:r>
        <w:rPr>
          <w:rFonts w:ascii="Times New Roman" w:hAnsi="Times New Roman"/>
          <w:sz w:val="22"/>
          <w:szCs w:val="22"/>
          <w:lang w:eastAsia="pt-BR"/>
        </w:rPr>
        <w:t xml:space="preserve"> Regimento Interno do CAU/BR, após análise do assunto em epígrafe, e</w:t>
      </w:r>
    </w:p>
    <w:p w:rsidR="0028649A" w:rsidRDefault="0028649A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28649A" w:rsidRDefault="006864B9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Considerando a Deliberação nº 118/2018 da CEP-CAU/ES, de 04 de dezembro de 2018, que encaminha consulta à CEP-CAU/BR para adequação da Deliberação nº 02/2016 da CEP-CAU/ES frente aos nor</w:t>
      </w:r>
      <w:r>
        <w:rPr>
          <w:rFonts w:ascii="Times New Roman" w:hAnsi="Times New Roman"/>
          <w:sz w:val="22"/>
          <w:szCs w:val="22"/>
          <w:lang w:eastAsia="pt-BR"/>
        </w:rPr>
        <w:t>mativos vigentes do CAU/BR e Deliberações da CEP-CAU/BR a respeito da atribuição e campos de atuação dos arquitetos e urbanistas para atividades relacionadas à instalações prediais de prevenção e combate a incêndio e pânico;</w:t>
      </w:r>
    </w:p>
    <w:p w:rsidR="0028649A" w:rsidRDefault="0028649A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28649A" w:rsidRDefault="006864B9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Considerando a Deliberação </w:t>
      </w:r>
      <w:r>
        <w:rPr>
          <w:rFonts w:ascii="Times New Roman" w:hAnsi="Times New Roman"/>
          <w:sz w:val="22"/>
          <w:szCs w:val="22"/>
          <w:lang w:eastAsia="pt-BR"/>
        </w:rPr>
        <w:t>CEP-CAU/ES nº 02/2016, de 29 de março de 2016, que aprovou uma lista de atividades de atribuição dos arquitetos e urbanistas relacionadas à elaboração de projeto de segurança contra incêndio e pânico para informação ao Corpo de Bombeiros do Espírito Santo.</w:t>
      </w:r>
    </w:p>
    <w:p w:rsidR="0028649A" w:rsidRDefault="0028649A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28649A" w:rsidRDefault="006864B9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Considerando a Lei Federal nº 12.378, de 31 de dezembro de 2010, que em seu art. 2º estabelece as atividades, atribuições e campos de atuação profissional do arquiteto e urbanista, e em seu art. 3º esclarece que os campos de atuação profissional para o e</w:t>
      </w:r>
      <w:r>
        <w:rPr>
          <w:rFonts w:ascii="Times New Roman" w:hAnsi="Times New Roman"/>
          <w:sz w:val="22"/>
          <w:szCs w:val="22"/>
          <w:lang w:eastAsia="pt-BR"/>
        </w:rPr>
        <w:t>xercício da Arquitetura e Urbanismo são definidos a partir das Diretrizes Curriculares Nacionais, que dispõem sobre a formação do profissional arquiteto e urbanista.</w:t>
      </w:r>
    </w:p>
    <w:p w:rsidR="0028649A" w:rsidRDefault="0028649A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28649A" w:rsidRDefault="006864B9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Considerando o disposto na Resolução CAU/BR nº 21/2012, que, em estrita observância à Lei</w:t>
      </w:r>
      <w:r>
        <w:rPr>
          <w:rFonts w:ascii="Times New Roman" w:hAnsi="Times New Roman"/>
          <w:sz w:val="22"/>
          <w:szCs w:val="22"/>
          <w:lang w:eastAsia="pt-BR"/>
        </w:rPr>
        <w:t xml:space="preserve"> n° 12.378/2010, e à luz da Resolução CNE/CES n° 02/2010, detalha em seu art. 3º o rol de as atividades técnicas de atribuição profissional do arquiteto e urbanista;</w:t>
      </w:r>
    </w:p>
    <w:p w:rsidR="0028649A" w:rsidRDefault="0028649A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28649A" w:rsidRDefault="006864B9">
      <w:pPr>
        <w:jc w:val="both"/>
      </w:pPr>
      <w:r>
        <w:rPr>
          <w:rFonts w:ascii="Times New Roman" w:hAnsi="Times New Roman"/>
          <w:strike/>
          <w:color w:val="FF0000"/>
          <w:sz w:val="22"/>
          <w:szCs w:val="22"/>
          <w:lang w:eastAsia="pt-BR"/>
        </w:rPr>
        <w:t>Considerando a Deliberação nº 07/2014 da CEP-CAU/BR, que manifesta que os arquitetos e ur</w:t>
      </w:r>
      <w:r>
        <w:rPr>
          <w:rFonts w:ascii="Times New Roman" w:hAnsi="Times New Roman"/>
          <w:strike/>
          <w:color w:val="FF0000"/>
          <w:sz w:val="22"/>
          <w:szCs w:val="22"/>
          <w:lang w:eastAsia="pt-BR"/>
        </w:rPr>
        <w:t>banistas não possuem atribuição para a realização de projeto, instalação e manutenção de Sistema de Proteção a Descargas Atmosféricas – SPDA;</w:t>
      </w:r>
      <w:r>
        <w:rPr>
          <w:rFonts w:ascii="Times New Roman" w:hAnsi="Times New Roman"/>
          <w:color w:val="FF0000"/>
          <w:sz w:val="22"/>
          <w:szCs w:val="22"/>
          <w:u w:val="single"/>
          <w:lang w:eastAsia="pt-BR"/>
        </w:rPr>
        <w:t xml:space="preserve"> </w:t>
      </w:r>
      <w:r>
        <w:rPr>
          <w:rFonts w:ascii="Times New Roman" w:hAnsi="Times New Roman"/>
          <w:i/>
          <w:color w:val="0070C0"/>
          <w:sz w:val="22"/>
          <w:szCs w:val="22"/>
          <w:lang w:eastAsia="pt-BR"/>
        </w:rPr>
        <w:t>(revogada pela Deliberação nº 072/2019-CEP-CAU/BR)</w:t>
      </w:r>
    </w:p>
    <w:p w:rsidR="0028649A" w:rsidRDefault="0028649A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28649A" w:rsidRDefault="006864B9">
      <w:pPr>
        <w:jc w:val="both"/>
      </w:pPr>
      <w:r>
        <w:rPr>
          <w:rFonts w:ascii="Times New Roman" w:hAnsi="Times New Roman"/>
          <w:sz w:val="22"/>
          <w:szCs w:val="22"/>
          <w:lang w:eastAsia="pt-BR"/>
        </w:rPr>
        <w:t xml:space="preserve">Considerando a Deliberação nº019/2017-CEP-CAU/BR, que aprova </w:t>
      </w:r>
      <w:r>
        <w:rPr>
          <w:rFonts w:ascii="Times New Roman" w:hAnsi="Times New Roman"/>
          <w:sz w:val="22"/>
          <w:szCs w:val="22"/>
          <w:lang w:eastAsia="pt-BR"/>
        </w:rPr>
        <w:t>uma lista de atividades com esclarecimentos sobre atribuição ou não dos arquitetos e urbanistas</w:t>
      </w:r>
      <w:r>
        <w:rPr>
          <w:rFonts w:ascii="Times New Roman" w:hAnsi="Times New Roman"/>
          <w:color w:val="FF0000"/>
          <w:sz w:val="22"/>
          <w:szCs w:val="22"/>
          <w:lang w:eastAsia="pt-BR"/>
        </w:rPr>
        <w:t>,</w:t>
      </w:r>
      <w:r>
        <w:rPr>
          <w:rFonts w:ascii="Times New Roman" w:hAnsi="Times New Roman"/>
          <w:strike/>
          <w:color w:val="FF0000"/>
          <w:sz w:val="22"/>
          <w:szCs w:val="22"/>
          <w:lang w:eastAsia="pt-BR"/>
        </w:rPr>
        <w:t xml:space="preserve"> e contempla as atividades de SPDA</w:t>
      </w:r>
      <w:r>
        <w:rPr>
          <w:rFonts w:ascii="Times New Roman" w:hAnsi="Times New Roman"/>
          <w:strike/>
          <w:sz w:val="22"/>
          <w:szCs w:val="22"/>
          <w:lang w:eastAsia="pt-BR"/>
        </w:rPr>
        <w:t xml:space="preserve">, </w:t>
      </w:r>
      <w:r>
        <w:rPr>
          <w:rFonts w:ascii="Times New Roman" w:hAnsi="Times New Roman"/>
          <w:sz w:val="22"/>
          <w:szCs w:val="22"/>
          <w:lang w:eastAsia="pt-BR"/>
        </w:rPr>
        <w:t>Sistemas de Elevador de Emergência (SEE), informando que essas atividades</w:t>
      </w:r>
      <w:r>
        <w:rPr>
          <w:rFonts w:ascii="Times New Roman" w:hAnsi="Times New Roman"/>
          <w:b/>
          <w:sz w:val="22"/>
          <w:szCs w:val="22"/>
          <w:lang w:eastAsia="pt-BR"/>
        </w:rPr>
        <w:t xml:space="preserve"> não</w:t>
      </w:r>
      <w:r>
        <w:rPr>
          <w:rFonts w:ascii="Times New Roman" w:hAnsi="Times New Roman"/>
          <w:sz w:val="22"/>
          <w:szCs w:val="22"/>
          <w:lang w:eastAsia="pt-BR"/>
        </w:rPr>
        <w:t xml:space="preserve"> são da competência e atribuição dos arquitetos</w:t>
      </w:r>
      <w:r>
        <w:rPr>
          <w:rFonts w:ascii="Times New Roman" w:hAnsi="Times New Roman"/>
          <w:sz w:val="22"/>
          <w:szCs w:val="22"/>
          <w:lang w:eastAsia="pt-BR"/>
        </w:rPr>
        <w:t xml:space="preserve"> e urbanistas;</w:t>
      </w:r>
      <w:r>
        <w:rPr>
          <w:rFonts w:ascii="Times New Roman" w:hAnsi="Times New Roman"/>
          <w:i/>
          <w:color w:val="0070C0"/>
          <w:sz w:val="22"/>
          <w:szCs w:val="22"/>
          <w:lang w:eastAsia="pt-BR"/>
        </w:rPr>
        <w:t xml:space="preserve"> (atualizada com base na Deliberação nº 072/2019-CEP-CAU/BR)</w:t>
      </w:r>
    </w:p>
    <w:p w:rsidR="0028649A" w:rsidRDefault="0028649A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</w:p>
    <w:p w:rsidR="0028649A" w:rsidRDefault="006864B9">
      <w:pPr>
        <w:jc w:val="both"/>
      </w:pPr>
      <w:r>
        <w:rPr>
          <w:rFonts w:ascii="Times New Roman" w:hAnsi="Times New Roman"/>
          <w:sz w:val="22"/>
          <w:szCs w:val="22"/>
          <w:lang w:eastAsia="pt-BR"/>
        </w:rPr>
        <w:t>Considerando a Deliberação nº043/2018-CEP-CAU/BR, que esclarece que os</w:t>
      </w:r>
      <w:r>
        <w:rPr>
          <w:rFonts w:ascii="Times New Roman" w:hAnsi="Times New Roman"/>
          <w:sz w:val="22"/>
          <w:szCs w:val="22"/>
        </w:rPr>
        <w:t xml:space="preserve"> arquitetos e urbanistas possuem atribuição para elaboração de projeto de </w:t>
      </w:r>
      <w:r>
        <w:rPr>
          <w:rFonts w:ascii="Times New Roman" w:hAnsi="Times New Roman"/>
          <w:sz w:val="22"/>
          <w:szCs w:val="22"/>
          <w:lang w:eastAsia="pt-BR"/>
        </w:rPr>
        <w:t>proteção contra incêndio e pânico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.</w:t>
      </w:r>
    </w:p>
    <w:p w:rsidR="0028649A" w:rsidRDefault="0028649A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</w:p>
    <w:p w:rsidR="0028649A" w:rsidRDefault="0028649A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</w:p>
    <w:p w:rsidR="0028649A" w:rsidRDefault="006864B9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DELIBERA:</w:t>
      </w:r>
    </w:p>
    <w:p w:rsidR="0028649A" w:rsidRDefault="0028649A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28649A" w:rsidRDefault="006864B9">
      <w:pPr>
        <w:jc w:val="both"/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1 – Esclarecer que a </w:t>
      </w:r>
      <w:r>
        <w:rPr>
          <w:rFonts w:ascii="Times New Roman" w:hAnsi="Times New Roman"/>
          <w:sz w:val="22"/>
          <w:szCs w:val="22"/>
          <w:lang w:eastAsia="pt-BR"/>
        </w:rPr>
        <w:t xml:space="preserve">Resolução CAU/BR n° 21, de 2012, estabelece que são da atribuição dos arquitetos e urbanistas as atividades técnicas relacionadas à Instalações e Equipamentos referentes à Arquitetura, incluindo Projeto e Execução de: </w:t>
      </w:r>
      <w:r>
        <w:rPr>
          <w:rFonts w:ascii="Times New Roman" w:hAnsi="Times New Roman"/>
          <w:sz w:val="22"/>
          <w:szCs w:val="22"/>
          <w:lang w:eastAsia="pt-BR"/>
        </w:rPr>
        <w:t xml:space="preserve">Instalações Prediais de Prevenção e Combate a Incêndio; Sistemas de </w:t>
      </w:r>
      <w:r>
        <w:rPr>
          <w:rFonts w:ascii="Times New Roman" w:hAnsi="Times New Roman"/>
          <w:sz w:val="22"/>
          <w:szCs w:val="22"/>
          <w:lang w:eastAsia="pt-BR"/>
        </w:rPr>
        <w:lastRenderedPageBreak/>
        <w:t>proteção contra incêndios e catástrofes; Instalações Prediais de Gás Canalizado; Instalações Prediais Hidrossanitárias, Instalações Elétricas Prediais de Baixa Tensão, entre outras;</w:t>
      </w:r>
    </w:p>
    <w:p w:rsidR="0028649A" w:rsidRDefault="0028649A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28649A" w:rsidRDefault="006864B9">
      <w:pPr>
        <w:jc w:val="both"/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2 </w:t>
      </w:r>
      <w:r>
        <w:rPr>
          <w:rFonts w:ascii="Times New Roman" w:hAnsi="Times New Roman"/>
          <w:sz w:val="22"/>
          <w:szCs w:val="22"/>
        </w:rPr>
        <w:t xml:space="preserve">– </w:t>
      </w:r>
      <w:r>
        <w:rPr>
          <w:rFonts w:ascii="Times New Roman" w:hAnsi="Times New Roman"/>
          <w:sz w:val="22"/>
          <w:szCs w:val="22"/>
          <w:lang w:eastAsia="pt-BR"/>
        </w:rPr>
        <w:t>E</w:t>
      </w:r>
      <w:r>
        <w:rPr>
          <w:rFonts w:ascii="Times New Roman" w:hAnsi="Times New Roman"/>
          <w:sz w:val="22"/>
          <w:szCs w:val="22"/>
          <w:lang w:eastAsia="pt-BR"/>
        </w:rPr>
        <w:t>sclarecer os seguintes conceitos: “Instalações Prediais de Prevenção e Combate a Incêndio” consiste em projeto ou execução das instalações que constituem o sistema de proteção contra incêndio e pânico nas edificações, incluindo hidrante de recalque, coluna</w:t>
      </w:r>
      <w:r>
        <w:rPr>
          <w:rFonts w:ascii="Times New Roman" w:hAnsi="Times New Roman"/>
          <w:sz w:val="22"/>
          <w:szCs w:val="22"/>
          <w:lang w:eastAsia="pt-BR"/>
        </w:rPr>
        <w:t xml:space="preserve"> de incêndio, central de GLP, hidrante de parede e reserva técnica de incêndio; e “Sistemas Prediais de Proteção Contra Incêndios e Catástrofes” consiste em projeto ou execução de sistemas de proteção contra incêndio e pânico das edificações, incluindo ext</w:t>
      </w:r>
      <w:r>
        <w:rPr>
          <w:rFonts w:ascii="Times New Roman" w:hAnsi="Times New Roman"/>
          <w:sz w:val="22"/>
          <w:szCs w:val="22"/>
          <w:lang w:eastAsia="pt-BR"/>
        </w:rPr>
        <w:t>intores de incêndio, sinalização de segurança contra incêndio e pânico, saídas de emergência, iluminação de emergência e área de refúgio</w:t>
      </w:r>
    </w:p>
    <w:p w:rsidR="0028649A" w:rsidRDefault="0028649A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</w:p>
    <w:p w:rsidR="0028649A" w:rsidRDefault="006864B9">
      <w:pPr>
        <w:tabs>
          <w:tab w:val="start" w:pos="70.90pt"/>
        </w:tabs>
        <w:jc w:val="both"/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3 </w:t>
      </w:r>
      <w:r>
        <w:rPr>
          <w:rFonts w:ascii="Times New Roman" w:hAnsi="Times New Roman"/>
          <w:sz w:val="22"/>
          <w:szCs w:val="22"/>
        </w:rPr>
        <w:t xml:space="preserve">–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Esclarecer que as </w:t>
      </w:r>
      <w:r>
        <w:rPr>
          <w:rFonts w:ascii="Times New Roman" w:hAnsi="Times New Roman"/>
          <w:sz w:val="22"/>
          <w:szCs w:val="22"/>
        </w:rPr>
        <w:t>atividades relacionadas à: Sistema de Proteção por Hidrante (SPH); Sistema de Proteção por Exti</w:t>
      </w:r>
      <w:r>
        <w:rPr>
          <w:rFonts w:ascii="Times New Roman" w:hAnsi="Times New Roman"/>
          <w:sz w:val="22"/>
          <w:szCs w:val="22"/>
        </w:rPr>
        <w:t>ntores (SPE); Sistema de Saída de Emergência (SSE); Chuveiros Automáticos (SPK); Sistema de Iluminação de Emergência (SIE); Sistema de Sinalização de Segurança (SSS); Gás Liquefeito de Petróleo (GLP); Sistema de Alarme Manual (SAM); Sistema de Detecção Aut</w:t>
      </w:r>
      <w:r>
        <w:rPr>
          <w:rFonts w:ascii="Times New Roman" w:hAnsi="Times New Roman"/>
          <w:sz w:val="22"/>
          <w:szCs w:val="22"/>
        </w:rPr>
        <w:t>omática (SDA);  Brigada de Incêndio (BI), se enquadram nas atividades técnicas relativas à Projeto de instalações prediais de prevenção e combate a incêndio e de sistemas de proteção contra incêndios e catástrofes.</w:t>
      </w:r>
    </w:p>
    <w:p w:rsidR="0028649A" w:rsidRDefault="0028649A">
      <w:pPr>
        <w:tabs>
          <w:tab w:val="start" w:pos="70.90pt"/>
        </w:tabs>
        <w:jc w:val="both"/>
        <w:rPr>
          <w:rFonts w:ascii="Times New Roman" w:hAnsi="Times New Roman"/>
          <w:sz w:val="22"/>
          <w:szCs w:val="22"/>
        </w:rPr>
      </w:pPr>
    </w:p>
    <w:p w:rsidR="0028649A" w:rsidRDefault="006864B9">
      <w:pPr>
        <w:tabs>
          <w:tab w:val="start" w:pos="70.90pt"/>
        </w:tabs>
        <w:jc w:val="both"/>
      </w:pPr>
      <w:r w:rsidRPr="00015F5F">
        <w:rPr>
          <w:rFonts w:ascii="Times New Roman" w:eastAsia="Times New Roman" w:hAnsi="Times New Roman"/>
          <w:strike/>
          <w:sz w:val="22"/>
          <w:szCs w:val="22"/>
          <w:lang w:eastAsia="pt-BR"/>
        </w:rPr>
        <w:t xml:space="preserve">4 </w:t>
      </w:r>
      <w:r w:rsidRPr="00015F5F">
        <w:rPr>
          <w:rFonts w:ascii="Times New Roman" w:hAnsi="Times New Roman"/>
          <w:strike/>
          <w:sz w:val="22"/>
          <w:szCs w:val="22"/>
        </w:rPr>
        <w:t>– Esclarecer que as atividades técnica</w:t>
      </w:r>
      <w:r w:rsidRPr="00015F5F">
        <w:rPr>
          <w:rFonts w:ascii="Times New Roman" w:hAnsi="Times New Roman"/>
          <w:strike/>
          <w:sz w:val="22"/>
          <w:szCs w:val="22"/>
        </w:rPr>
        <w:t xml:space="preserve">s relativas à </w:t>
      </w:r>
      <w:r w:rsidRPr="00015F5F">
        <w:rPr>
          <w:rFonts w:ascii="Times New Roman" w:hAnsi="Times New Roman"/>
          <w:strike/>
          <w:color w:val="FF0000"/>
          <w:sz w:val="22"/>
          <w:szCs w:val="22"/>
        </w:rPr>
        <w:t>Sistema de Proteção Contra Descarga Atmosférica (SPDA) e</w:t>
      </w:r>
      <w:r w:rsidRPr="00015F5F">
        <w:rPr>
          <w:rFonts w:ascii="Times New Roman" w:hAnsi="Times New Roman"/>
          <w:strike/>
          <w:color w:val="FF0000"/>
          <w:sz w:val="22"/>
          <w:szCs w:val="22"/>
        </w:rPr>
        <w:t xml:space="preserve"> </w:t>
      </w:r>
      <w:r w:rsidRPr="00015F5F">
        <w:rPr>
          <w:rFonts w:ascii="Times New Roman" w:hAnsi="Times New Roman"/>
          <w:strike/>
          <w:sz w:val="22"/>
          <w:szCs w:val="22"/>
        </w:rPr>
        <w:t xml:space="preserve">Sistema de Elevador de Emergência (SEE) </w:t>
      </w:r>
      <w:r w:rsidRPr="00015F5F">
        <w:rPr>
          <w:rFonts w:ascii="Times New Roman" w:hAnsi="Times New Roman"/>
          <w:b/>
          <w:strike/>
          <w:sz w:val="22"/>
          <w:szCs w:val="22"/>
          <w:u w:val="single"/>
          <w:lang w:eastAsia="pt-BR"/>
        </w:rPr>
        <w:t>não</w:t>
      </w:r>
      <w:r w:rsidRPr="00015F5F">
        <w:rPr>
          <w:rFonts w:ascii="Times New Roman" w:hAnsi="Times New Roman"/>
          <w:strike/>
          <w:sz w:val="22"/>
          <w:szCs w:val="22"/>
          <w:lang w:eastAsia="pt-BR"/>
        </w:rPr>
        <w:t xml:space="preserve"> são da competência e atribuição dos arquitetos e urbanistas</w:t>
      </w:r>
      <w:r>
        <w:rPr>
          <w:rFonts w:ascii="Times New Roman" w:hAnsi="Times New Roman"/>
          <w:sz w:val="22"/>
          <w:szCs w:val="22"/>
          <w:lang w:eastAsia="pt-BR"/>
        </w:rPr>
        <w:t xml:space="preserve">; </w:t>
      </w:r>
      <w:r w:rsidR="00015F5F" w:rsidRPr="00015F5F">
        <w:rPr>
          <w:rFonts w:ascii="Times New Roman" w:hAnsi="Times New Roman"/>
          <w:i/>
          <w:color w:val="0070C0"/>
          <w:sz w:val="20"/>
          <w:szCs w:val="20"/>
          <w:lang w:eastAsia="pt-BR"/>
        </w:rPr>
        <w:t>(Revogada pela Deliberação nº 018/2022-CEP-CAUBR, em função da DPAEBR-006-03-2020)</w:t>
      </w:r>
    </w:p>
    <w:p w:rsidR="0028649A" w:rsidRDefault="0028649A">
      <w:pPr>
        <w:tabs>
          <w:tab w:val="start" w:pos="70.90pt"/>
        </w:tabs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28649A" w:rsidRDefault="006864B9">
      <w:pPr>
        <w:tabs>
          <w:tab w:val="start" w:pos="70.90pt"/>
        </w:tabs>
        <w:jc w:val="both"/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5 </w:t>
      </w:r>
      <w:r>
        <w:rPr>
          <w:rFonts w:ascii="Times New Roman" w:hAnsi="Times New Roman"/>
          <w:sz w:val="22"/>
          <w:szCs w:val="22"/>
        </w:rPr>
        <w:t xml:space="preserve">– </w:t>
      </w:r>
      <w:r>
        <w:rPr>
          <w:rFonts w:ascii="Times New Roman" w:hAnsi="Times New Roman"/>
          <w:sz w:val="22"/>
          <w:szCs w:val="22"/>
          <w:lang w:eastAsia="pt-BR"/>
        </w:rPr>
        <w:t>Informar ao CAU/E</w:t>
      </w:r>
      <w:r>
        <w:rPr>
          <w:rFonts w:ascii="Times New Roman" w:hAnsi="Times New Roman"/>
          <w:sz w:val="22"/>
          <w:szCs w:val="22"/>
          <w:lang w:eastAsia="pt-BR"/>
        </w:rPr>
        <w:t xml:space="preserve">S que será necessário revisar a tabela anexa à Deliberação nº 02/2016 da CEP-CAU/ES, revogando a referida Deliberação para que se torne sem efeito, e oficiar o Corpo de Bombeiros do Espírito Santo para retificar a informação sobre as atividades que são de </w:t>
      </w:r>
      <w:r>
        <w:rPr>
          <w:rFonts w:ascii="Times New Roman" w:hAnsi="Times New Roman"/>
          <w:sz w:val="22"/>
          <w:szCs w:val="22"/>
          <w:lang w:eastAsia="pt-BR"/>
        </w:rPr>
        <w:t>atribuição e competência dos arquitetos e urbanistas; e</w:t>
      </w:r>
    </w:p>
    <w:p w:rsidR="0028649A" w:rsidRDefault="0028649A">
      <w:pPr>
        <w:tabs>
          <w:tab w:val="start" w:pos="70.90pt"/>
        </w:tabs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28649A" w:rsidRDefault="006864B9">
      <w:pPr>
        <w:tabs>
          <w:tab w:val="start" w:pos="70.90pt"/>
        </w:tabs>
        <w:jc w:val="both"/>
      </w:pPr>
      <w:r>
        <w:rPr>
          <w:rFonts w:ascii="Times New Roman" w:hAnsi="Times New Roman"/>
          <w:sz w:val="22"/>
          <w:szCs w:val="22"/>
          <w:lang w:eastAsia="pt-BR"/>
        </w:rPr>
        <w:t xml:space="preserve">6 – </w:t>
      </w:r>
      <w:r>
        <w:rPr>
          <w:rFonts w:ascii="Times New Roman" w:hAnsi="Times New Roman"/>
          <w:sz w:val="22"/>
          <w:szCs w:val="22"/>
        </w:rPr>
        <w:t>Encaminhar esta Deliberação à Presidência do CAU/BR para conhecimento e encaminhamento de resposta ao CAU/ES por meio do protocolo SICCAU em epígrafe, solicitando o envio à Rede Integrada de Aten</w:t>
      </w:r>
      <w:r>
        <w:rPr>
          <w:rFonts w:ascii="Times New Roman" w:hAnsi="Times New Roman"/>
          <w:sz w:val="22"/>
          <w:szCs w:val="22"/>
        </w:rPr>
        <w:t>dimento (RIA) para divulgação a todos os CAU/UF.</w:t>
      </w:r>
    </w:p>
    <w:p w:rsidR="0028649A" w:rsidRDefault="0028649A">
      <w:pPr>
        <w:tabs>
          <w:tab w:val="start" w:pos="70.90pt"/>
        </w:tabs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28649A" w:rsidRDefault="006864B9">
      <w:pPr>
        <w:jc w:val="center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Brasília - DF, 15 de março de 2019.</w:t>
      </w:r>
    </w:p>
    <w:p w:rsidR="0028649A" w:rsidRDefault="0028649A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:rsidR="0028649A" w:rsidRDefault="006864B9">
      <w:pPr>
        <w:tabs>
          <w:tab w:val="center" w:pos="226.80pt"/>
          <w:tab w:val="end" w:pos="425.20pt"/>
        </w:tabs>
      </w:pPr>
      <w:r>
        <w:rPr>
          <w:rFonts w:ascii="Times New Roman" w:hAnsi="Times New Roman"/>
          <w:b/>
          <w:sz w:val="22"/>
          <w:szCs w:val="22"/>
        </w:rPr>
        <w:t>MARIA ELIANA JUBÉ RIBEIRO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ab/>
        <w:t>____________________________________</w:t>
      </w:r>
    </w:p>
    <w:p w:rsidR="0028649A" w:rsidRDefault="006864B9">
      <w:pPr>
        <w:tabs>
          <w:tab w:val="start" w:pos="232.55pt"/>
        </w:tabs>
        <w:autoSpaceDE w:val="0"/>
      </w:pPr>
      <w:r>
        <w:rPr>
          <w:rFonts w:ascii="Times New Roman" w:eastAsia="Calibri" w:hAnsi="Times New Roman"/>
          <w:sz w:val="22"/>
          <w:szCs w:val="22"/>
          <w:lang w:eastAsia="pt-BR"/>
        </w:rPr>
        <w:t>Coordenadora</w:t>
      </w:r>
      <w:r>
        <w:rPr>
          <w:rFonts w:ascii="Times New Roman" w:hAnsi="Times New Roman"/>
          <w:caps/>
          <w:spacing w:val="4"/>
          <w:sz w:val="22"/>
          <w:szCs w:val="22"/>
          <w:lang w:eastAsia="pt-BR"/>
        </w:rPr>
        <w:tab/>
      </w:r>
    </w:p>
    <w:p w:rsidR="0028649A" w:rsidRDefault="0028649A">
      <w:pPr>
        <w:autoSpaceDE w:val="0"/>
        <w:rPr>
          <w:rFonts w:ascii="Times New Roman" w:hAnsi="Times New Roman"/>
          <w:b/>
          <w:caps/>
          <w:spacing w:val="4"/>
          <w:sz w:val="22"/>
          <w:szCs w:val="22"/>
        </w:rPr>
      </w:pPr>
    </w:p>
    <w:p w:rsidR="0028649A" w:rsidRDefault="006864B9">
      <w:pPr>
        <w:tabs>
          <w:tab w:val="start" w:pos="226.80pt"/>
        </w:tabs>
        <w:autoSpaceDE w:val="0"/>
      </w:pPr>
      <w:r>
        <w:rPr>
          <w:rFonts w:ascii="Times New Roman" w:hAnsi="Times New Roman"/>
          <w:b/>
          <w:caps/>
          <w:spacing w:val="4"/>
          <w:sz w:val="22"/>
          <w:szCs w:val="22"/>
        </w:rPr>
        <w:t>ricardo martins da fonseca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ab/>
        <w:t>____________________________________</w:t>
      </w:r>
    </w:p>
    <w:p w:rsidR="0028649A" w:rsidRDefault="006864B9">
      <w:pPr>
        <w:tabs>
          <w:tab w:val="start" w:pos="232.55pt"/>
        </w:tabs>
        <w:autoSpaceDE w:val="0"/>
      </w:pPr>
      <w:r>
        <w:rPr>
          <w:rFonts w:ascii="Times New Roman" w:hAnsi="Times New Roman"/>
          <w:sz w:val="22"/>
          <w:szCs w:val="22"/>
          <w:lang w:eastAsia="pt-BR"/>
        </w:rPr>
        <w:t>Coordenador Adjunto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28649A" w:rsidRDefault="0028649A">
      <w:pPr>
        <w:tabs>
          <w:tab w:val="center" w:pos="226.80pt"/>
          <w:tab w:val="end" w:pos="425.20pt"/>
        </w:tabs>
        <w:rPr>
          <w:rFonts w:ascii="Times New Roman" w:hAnsi="Times New Roman"/>
          <w:b/>
          <w:sz w:val="22"/>
          <w:szCs w:val="22"/>
        </w:rPr>
      </w:pPr>
    </w:p>
    <w:p w:rsidR="0028649A" w:rsidRDefault="006864B9">
      <w:pPr>
        <w:tabs>
          <w:tab w:val="center" w:pos="226.80pt"/>
          <w:tab w:val="end" w:pos="425.20pt"/>
        </w:tabs>
      </w:pPr>
      <w:r>
        <w:rPr>
          <w:rFonts w:ascii="Times New Roman" w:hAnsi="Times New Roman"/>
          <w:b/>
          <w:sz w:val="22"/>
          <w:szCs w:val="22"/>
        </w:rPr>
        <w:t xml:space="preserve">FERNANDO MÁRCIO </w:t>
      </w:r>
      <w:r>
        <w:rPr>
          <w:b/>
        </w:rPr>
        <w:t>DE OLIVEIRA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_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</w:t>
      </w:r>
    </w:p>
    <w:p w:rsidR="0028649A" w:rsidRDefault="006864B9">
      <w:pPr>
        <w:tabs>
          <w:tab w:val="start" w:pos="232.55pt"/>
        </w:tabs>
      </w:pPr>
      <w:r>
        <w:rPr>
          <w:rFonts w:ascii="Times New Roman" w:hAnsi="Times New Roman"/>
          <w:sz w:val="22"/>
          <w:szCs w:val="22"/>
          <w:lang w:eastAsia="pt-BR"/>
        </w:rPr>
        <w:t>Membro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28649A" w:rsidRDefault="0028649A"/>
    <w:p w:rsidR="0028649A" w:rsidRDefault="006864B9">
      <w:pPr>
        <w:tabs>
          <w:tab w:val="center" w:pos="212.60pt"/>
          <w:tab w:val="end" w:pos="425.20pt"/>
        </w:tabs>
      </w:pPr>
      <w:r>
        <w:rPr>
          <w:rFonts w:ascii="Times New Roman" w:eastAsia="Calibri" w:hAnsi="Times New Roman"/>
          <w:b/>
          <w:sz w:val="22"/>
          <w:szCs w:val="22"/>
        </w:rPr>
        <w:t>JOSEMÉE GOMES DE LIMA</w:t>
      </w:r>
      <w:r>
        <w:rPr>
          <w:rFonts w:ascii="Times New Roman" w:eastAsia="Calibri" w:hAnsi="Times New Roman"/>
          <w:b/>
          <w:sz w:val="22"/>
          <w:szCs w:val="22"/>
        </w:rPr>
        <w:tab/>
      </w:r>
      <w:r>
        <w:rPr>
          <w:rFonts w:ascii="Times New Roman" w:eastAsia="Calibri" w:hAnsi="Times New Roman"/>
          <w:b/>
          <w:sz w:val="22"/>
          <w:szCs w:val="22"/>
        </w:rPr>
        <w:tab/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____________________________________</w:t>
      </w:r>
    </w:p>
    <w:p w:rsidR="0028649A" w:rsidRDefault="006864B9">
      <w:pPr>
        <w:tabs>
          <w:tab w:val="start" w:pos="232.55pt"/>
        </w:tabs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Membro</w:t>
      </w:r>
    </w:p>
    <w:p w:rsidR="0028649A" w:rsidRDefault="0028649A">
      <w:pPr>
        <w:tabs>
          <w:tab w:val="start" w:pos="232.55pt"/>
        </w:tabs>
        <w:autoSpaceDE w:val="0"/>
        <w:rPr>
          <w:rFonts w:ascii="Times New Roman" w:hAnsi="Times New Roman"/>
          <w:caps/>
          <w:spacing w:val="4"/>
          <w:sz w:val="22"/>
          <w:szCs w:val="22"/>
          <w:lang w:eastAsia="pt-BR"/>
        </w:rPr>
      </w:pPr>
    </w:p>
    <w:p w:rsidR="0028649A" w:rsidRDefault="006864B9">
      <w:pPr>
        <w:tabs>
          <w:tab w:val="center" w:pos="226.80pt"/>
          <w:tab w:val="end" w:pos="425.20pt"/>
        </w:tabs>
      </w:pPr>
      <w:r>
        <w:rPr>
          <w:rFonts w:ascii="Times New Roman" w:hAnsi="Times New Roman"/>
          <w:b/>
          <w:sz w:val="22"/>
          <w:szCs w:val="22"/>
        </w:rPr>
        <w:t>WERNER DEIMLING ALBUQUERQUE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_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</w:t>
      </w:r>
    </w:p>
    <w:p w:rsidR="0028649A" w:rsidRDefault="006864B9">
      <w:pPr>
        <w:tabs>
          <w:tab w:val="start" w:pos="232.55pt"/>
        </w:tabs>
      </w:pPr>
      <w:r>
        <w:rPr>
          <w:rFonts w:ascii="Times New Roman" w:hAnsi="Times New Roman"/>
          <w:sz w:val="22"/>
          <w:szCs w:val="22"/>
          <w:lang w:eastAsia="pt-BR"/>
        </w:rPr>
        <w:t>Membro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28649A" w:rsidRDefault="0028649A"/>
    <w:sectPr w:rsidR="0028649A">
      <w:headerReference w:type="default" r:id="rId6"/>
      <w:footerReference w:type="default" r:id="rId7"/>
      <w:pgSz w:w="595pt" w:h="842pt"/>
      <w:pgMar w:top="99.25pt" w:right="56.40pt" w:bottom="77.95pt" w:left="77.95pt" w:header="66.35pt" w:footer="29.20pt" w:gutter="0pt"/>
      <w:cols w:space="36pt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000000" w:rsidRDefault="006864B9">
      <w:r>
        <w:separator/>
      </w:r>
    </w:p>
  </w:endnote>
  <w:endnote w:type="continuationSeparator" w:id="0">
    <w:p w:rsidR="00000000" w:rsidRDefault="0068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93F63" w:rsidRDefault="006864B9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6153729</wp:posOffset>
          </wp:positionH>
          <wp:positionV relativeFrom="paragraph">
            <wp:posOffset>-201259</wp:posOffset>
          </wp:positionV>
          <wp:extent cx="1067379" cy="295899"/>
          <wp:effectExtent l="0" t="0" r="0" b="0"/>
          <wp:wrapSquare wrapText="bothSides"/>
          <wp:docPr id="2" name="Caixa de Texto 2"/>
          <wp:cNvGraphicFramePr/>
          <a:graphic xmlns:a="http://purl.oclc.org/ooxml/drawingml/main">
            <a:graphicData uri="http://schemas.microsoft.com/office/word/2010/wordprocessingShape">
              <wp:wsp>
                <wp:cNvSpPr txBox="1"/>
                <wp:spPr>
                  <a:xfrm>
                    <a:off x="0" y="0"/>
                    <a:ext cx="1067379" cy="295899"/>
                  </a:xfrm>
                  <a:prstGeom prst="rect">
                    <a:avLst/>
                  </a:prstGeom>
                  <a:ln>
                    <a:noFill/>
                    <a:prstDash/>
                  </a:ln>
                </wp:spPr>
                <wp:txbx>
                  <wne:txbxContent>
                    <w:p w:rsidR="00793F63" w:rsidRDefault="006864B9">
                      <w:pPr>
                        <w:pStyle w:val="Rodap"/>
                        <w:jc w:val="end"/>
                      </w:pP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begin"/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instrText xml:space="preserve"> PAGE </w:instrTex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separate"/>
                      </w:r>
                      <w:r>
                        <w:rPr>
                          <w:rStyle w:val="Nmerodepgina"/>
                          <w:rFonts w:ascii="Arial" w:hAnsi="Arial"/>
                          <w:noProof/>
                          <w:color w:val="296D7A"/>
                          <w:sz w:val="18"/>
                        </w:rPr>
                        <w:t>2</w: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end"/>
                      </w:r>
                    </w:p>
                  </wne:txbxContent>
                </wp:txbx>
                <wp:bodyPr lIns="0" tIns="0" rIns="0" bIns="0"/>
              </wp:wsp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-1086480</wp:posOffset>
          </wp:positionH>
          <wp:positionV relativeFrom="paragraph">
            <wp:posOffset>-508004</wp:posOffset>
          </wp:positionV>
          <wp:extent cx="7578720" cy="1078233"/>
          <wp:effectExtent l="0" t="0" r="3180" b="7617"/>
          <wp:wrapNone/>
          <wp:docPr id="3" name="Imagem 46" descr="CAU-BR-timbrado2015--rodape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</w:p>
  <w:p w:rsidR="00793F63" w:rsidRDefault="006864B9">
    <w:pPr>
      <w:pStyle w:val="Rodap"/>
      <w:tabs>
        <w:tab w:val="clear" w:pos="216pt"/>
        <w:tab w:val="clear" w:pos="432pt"/>
        <w:tab w:val="start" w:pos="120pt"/>
        <w:tab w:val="start" w:pos="141pt"/>
        <w:tab w:val="start" w:pos="192.75pt"/>
      </w:tabs>
      <w:ind w:end="18pt"/>
    </w:pPr>
    <w:r>
      <w:tab/>
    </w:r>
    <w:r>
      <w:tab/>
    </w:r>
    <w:r>
      <w:rPr>
        <w:rFonts w:ascii="Times New Roman" w:hAnsi="Times New Roman"/>
        <w:color w:val="296D7A"/>
        <w:sz w:val="18"/>
        <w:szCs w:val="18"/>
      </w:rPr>
      <w:t>DELIBERAÇÃO Nº 019/2019 – (CEP – CAU/BR)</w:t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000000" w:rsidRDefault="006864B9">
      <w:r>
        <w:rPr>
          <w:color w:val="000000"/>
        </w:rPr>
        <w:separator/>
      </w:r>
    </w:p>
  </w:footnote>
  <w:footnote w:type="continuationSeparator" w:id="0">
    <w:p w:rsidR="00000000" w:rsidRDefault="006864B9"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93F63" w:rsidRDefault="006864B9">
    <w:pPr>
      <w:pStyle w:val="Cabealho"/>
      <w:tabs>
        <w:tab w:val="clear" w:pos="216pt"/>
        <w:tab w:val="start" w:pos="144pt"/>
        <w:tab w:val="start" w:pos="306pt"/>
      </w:tabs>
      <w:ind w:start="29.35pt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-985522</wp:posOffset>
          </wp:positionH>
          <wp:positionV relativeFrom="paragraph">
            <wp:posOffset>-849633</wp:posOffset>
          </wp:positionV>
          <wp:extent cx="7539356" cy="1075050"/>
          <wp:effectExtent l="0" t="0" r="4444" b="0"/>
          <wp:wrapNone/>
          <wp:docPr id="1" name="Imagem 47" descr="CAU-BR-timbrado2015-edit-16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9356" cy="1075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attachedTemplate r:id="rId1"/>
  <w:defaultTabStop w:val="36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8649A"/>
    <w:rsid w:val="00015F5F"/>
    <w:rsid w:val="0028649A"/>
    <w:rsid w:val="0068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3597449-80F7-4199-863F-E57A6DCBA55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</w:style>
  <w:style w:type="paragraph" w:styleId="NormalWeb">
    <w:name w:val="Normal (Web)"/>
    <w:basedOn w:val="Normal"/>
    <w:rPr>
      <w:rFonts w:ascii="Times" w:hAnsi="Times"/>
      <w:sz w:val="20"/>
      <w:szCs w:val="20"/>
    </w:rPr>
  </w:style>
  <w:style w:type="character" w:styleId="Forte">
    <w:name w:val="Strong"/>
    <w:rPr>
      <w:b/>
    </w:rPr>
  </w:style>
  <w:style w:type="character" w:customStyle="1" w:styleId="apple-converted-space">
    <w:name w:val="apple-converted-space"/>
    <w:basedOn w:val="Fontepargpadro"/>
  </w:style>
  <w:style w:type="character" w:styleId="nfase">
    <w:name w:val="Emphasis"/>
    <w:rPr>
      <w:i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paragraph" w:customStyle="1" w:styleId="SombreamentoMdio1-nfase11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pPr>
      <w:ind w:start="35.40pt"/>
    </w:pPr>
  </w:style>
  <w:style w:type="character" w:styleId="TextodoEspaoReservado">
    <w:name w:val="Placeholder Text"/>
    <w:basedOn w:val="Fontepargpadro"/>
    <w:rPr>
      <w:color w:val="808080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944</Words>
  <Characters>5098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DELIBERAÇÃO Nº 019/2019 – (CEP – CAU/BR)</vt:lpstr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Nº 019/2019 – (CEP – CAU/BR)</dc:title>
  <dc:subject/>
  <dc:creator>CEP-BR</dc:creator>
  <cp:lastModifiedBy>Pedro Martins Silva</cp:lastModifiedBy>
  <cp:revision>2</cp:revision>
  <cp:lastPrinted>2019-11-18T15:01:00Z</cp:lastPrinted>
  <dcterms:created xsi:type="dcterms:W3CDTF">2022-07-07T14:04:00Z</dcterms:created>
  <dcterms:modified xsi:type="dcterms:W3CDTF">2022-07-07T14:04:00Z</dcterms:modified>
</cp:coreProperties>
</file>