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16"/>
      </w:tblGrid>
      <w:tr w:rsidR="0051633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747965/2018 – CAU/RJ encaminha questionamento sobre atribuição dos arquitetos e urbanistas para serem responsáveis por estrutura para construção cais sobre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mar para atracação e entrada de navios e rebocadores</w:t>
            </w:r>
          </w:p>
        </w:tc>
      </w:tr>
      <w:tr w:rsidR="0051633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51633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51633A" w:rsidRDefault="00B52879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13 da 79ª Reunião Ordinária da CEP-CAU/BR: para apreciação e deliberação da Comissão</w:t>
            </w:r>
          </w:p>
        </w:tc>
      </w:tr>
    </w:tbl>
    <w:p w:rsidR="0051633A" w:rsidRDefault="00B5287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005/2019 – (CEP – CAU/BR)</w:t>
      </w:r>
    </w:p>
    <w:p w:rsidR="0051633A" w:rsidRDefault="0051633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A COMISSÃO DE </w:t>
      </w:r>
      <w:r>
        <w:rPr>
          <w:rFonts w:ascii="Times New Roman" w:hAnsi="Times New Roman"/>
          <w:strike/>
          <w:sz w:val="22"/>
          <w:szCs w:val="22"/>
          <w:lang w:eastAsia="pt-BR"/>
        </w:rPr>
        <w:t>EXERCÍCIO PROFISSIONAL – (CEP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), reunida ordinariamente em Brasília-DF, na sede do CAU/BR, nos dias 31 de janeiro e 01 de fevereiro de 2019, no uso das competências que lhe conferem o art. 97, 101 e 102 do Regimento Interno do CAU/BR, após análise </w:t>
      </w:r>
      <w:r>
        <w:rPr>
          <w:rFonts w:ascii="Times New Roman" w:hAnsi="Times New Roman"/>
          <w:strike/>
          <w:sz w:val="22"/>
          <w:szCs w:val="22"/>
          <w:lang w:eastAsia="pt-BR"/>
        </w:rPr>
        <w:t>do assunto em epígrafe, e</w:t>
      </w:r>
    </w:p>
    <w:p w:rsidR="0051633A" w:rsidRDefault="0051633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Considerando o disposto n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o art. 3° da Lei 12.378, de 2010, que estabelece: </w:t>
      </w:r>
      <w:r>
        <w:rPr>
          <w:rFonts w:ascii="Times New Roman" w:eastAsia="Times New Roman" w:hAnsi="Times New Roman"/>
          <w:i/>
          <w:strike/>
          <w:sz w:val="22"/>
          <w:szCs w:val="22"/>
          <w:lang w:eastAsia="pt-BR"/>
        </w:rPr>
        <w:t xml:space="preserve">“Os campos da atuação profissional para o exercício da arquitetura e urbanismo são definidos a partir das Diretrizes Curriculares Nacionais que dispõe </w:t>
      </w:r>
      <w:r>
        <w:rPr>
          <w:rFonts w:ascii="Times New Roman" w:eastAsia="Times New Roman" w:hAnsi="Times New Roman"/>
          <w:i/>
          <w:strike/>
          <w:sz w:val="22"/>
          <w:szCs w:val="22"/>
          <w:lang w:eastAsia="pt-BR"/>
        </w:rPr>
        <w:t>sobre a formação do profissional arquiteto e urbanista nas quais os núcleos de conhecimento de fundamentação e de conhecimentos profissionais caracterizam a unidade de atuação profissional”;</w:t>
      </w:r>
    </w:p>
    <w:p w:rsidR="0051633A" w:rsidRDefault="0051633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 xml:space="preserve">Considerando a Resolução CAU/BR nº 21, de 5 de abril de 2012, </w:t>
      </w:r>
      <w:r>
        <w:rPr>
          <w:strike/>
          <w:szCs w:val="22"/>
        </w:rPr>
        <w:t>que, em estrita observância à Lei n° 12.378, de 2010, e à luz da Resolução CNE/CES n° 2, de 2010, define o rol de atividades de atribuição dos arquitetos(as) e urbanistas para fins de Registro de Responsabilidade Técnica (RRT) no SICCAU;</w:t>
      </w:r>
    </w:p>
    <w:p w:rsidR="0051633A" w:rsidRDefault="0051633A">
      <w:pPr>
        <w:pStyle w:val="Recuodecorpodetexto"/>
        <w:ind w:firstLine="0pt"/>
        <w:rPr>
          <w:strike/>
          <w:szCs w:val="22"/>
        </w:rPr>
      </w:pPr>
    </w:p>
    <w:p w:rsidR="0051633A" w:rsidRDefault="00B52879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Considerando a  P</w:t>
      </w:r>
      <w:r>
        <w:rPr>
          <w:strike/>
          <w:szCs w:val="22"/>
        </w:rPr>
        <w:t>ortaria Normativa nº 12, de 31 de janeiro de 2013, que dispõe sobre a caracterização da atividade técnica de “Sistemas Construtivos e Estruturais” das Edificações, identificados no art. 3°, itens 1.2.1 a 1.2.6 (Projeto) e 2.2.1 a 2.2.6 (Execução) da Resolu</w:t>
      </w:r>
      <w:r>
        <w:rPr>
          <w:strike/>
          <w:szCs w:val="22"/>
        </w:rPr>
        <w:t>ção CAU/BR nº 21, de 2012, informando em seu art. 1º que estão compreendidas nessas atividades os seguintes sistemas: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I - sistemas estruturais funiculares, incluindo cabos, membranas e pneumáticos;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II - sistemas estruturais superficiais, incluindo dobradur</w:t>
      </w:r>
      <w:r>
        <w:rPr>
          <w:i/>
          <w:strike/>
          <w:szCs w:val="22"/>
        </w:rPr>
        <w:t>as e cascas;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III - sistemas estruturais reticulares rígidos, incluindo treliças;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IV - sistemas estruturais elevados, incluindo torres e arranha-céus;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V - sistemas estruturais de massa, incluindo lajes, vigas, pilares e pórticos.</w:t>
      </w:r>
    </w:p>
    <w:p w:rsidR="0051633A" w:rsidRDefault="00B52879">
      <w:pPr>
        <w:pStyle w:val="Recuodecorpodetexto"/>
        <w:ind w:start="42.55pt" w:firstLine="0pt"/>
        <w:rPr>
          <w:i/>
          <w:strike/>
          <w:szCs w:val="22"/>
        </w:rPr>
      </w:pPr>
      <w:r>
        <w:rPr>
          <w:i/>
          <w:strike/>
          <w:szCs w:val="22"/>
        </w:rPr>
        <w:t>Parágrafo único. Incluem-se</w:t>
      </w:r>
      <w:r>
        <w:rPr>
          <w:i/>
          <w:strike/>
          <w:szCs w:val="22"/>
        </w:rPr>
        <w:t xml:space="preserve"> ainda, nos sistemas estruturais referidos neste artigo, as fundações diretas e superficiais que lhes integram.</w:t>
      </w:r>
    </w:p>
    <w:p w:rsidR="0051633A" w:rsidRDefault="0051633A">
      <w:pPr>
        <w:pStyle w:val="Recuodecorpodetexto"/>
        <w:ind w:firstLine="0pt"/>
        <w:rPr>
          <w:strike/>
          <w:szCs w:val="22"/>
        </w:rPr>
      </w:pPr>
    </w:p>
    <w:p w:rsidR="0051633A" w:rsidRDefault="00B52879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Considerando que os Registros de Responsabilidades Técnicas (RRT) não podem ser constituídos por atividades técnicas que </w:t>
      </w:r>
      <w:r>
        <w:rPr>
          <w:rFonts w:ascii="Times New Roman" w:eastAsia="Times New Roman" w:hAnsi="Times New Roman"/>
          <w:strike/>
          <w:sz w:val="22"/>
          <w:szCs w:val="22"/>
          <w:u w:val="single"/>
          <w:lang w:eastAsia="pt-BR"/>
        </w:rPr>
        <w:t>não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 são da responsabil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idade, atribuição e campo de atuação do arquiteto e urbanista e do exercício profissional da Arquitetura e Urbanismo.</w:t>
      </w:r>
    </w:p>
    <w:p w:rsidR="0051633A" w:rsidRDefault="0051633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jc w:val="both"/>
        <w:rPr>
          <w:rFonts w:ascii="Times New Roman" w:hAnsi="Times New Roman"/>
          <w:b/>
          <w:strike/>
          <w:sz w:val="22"/>
          <w:szCs w:val="22"/>
          <w:lang w:eastAsia="pt-BR"/>
        </w:rPr>
      </w:pPr>
      <w:r>
        <w:rPr>
          <w:rFonts w:ascii="Times New Roman" w:hAnsi="Times New Roman"/>
          <w:b/>
          <w:strike/>
          <w:sz w:val="22"/>
          <w:szCs w:val="22"/>
          <w:lang w:eastAsia="pt-BR"/>
        </w:rPr>
        <w:t>DELIBERA:</w:t>
      </w:r>
    </w:p>
    <w:p w:rsidR="0051633A" w:rsidRDefault="0051633A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pStyle w:val="Recuodecorpodetexto"/>
        <w:ind w:firstLine="0pt"/>
      </w:pPr>
      <w:r>
        <w:rPr>
          <w:strike/>
          <w:szCs w:val="22"/>
        </w:rPr>
        <w:t>1 – Informar que as atividades técnicas relacionadas à para construção de cais ou píer (estrutura em plataforma fixa sobre est</w:t>
      </w:r>
      <w:r>
        <w:rPr>
          <w:strike/>
          <w:szCs w:val="22"/>
        </w:rPr>
        <w:t xml:space="preserve">acas ou móveis sobre mar, lagos, lagoas ou rios, para atracação e entrada de embarcações (navios, rebocadores, barcos, etc) </w:t>
      </w:r>
      <w:r>
        <w:rPr>
          <w:b/>
          <w:strike/>
          <w:szCs w:val="22"/>
          <w:u w:val="single"/>
        </w:rPr>
        <w:t>não</w:t>
      </w:r>
      <w:r>
        <w:rPr>
          <w:strike/>
          <w:szCs w:val="22"/>
        </w:rPr>
        <w:t xml:space="preserve"> encontra amparo nas Diretrizes Curriculares Nacionais do curso de Arquitetura e Urbanismo, por isso </w:t>
      </w:r>
      <w:r>
        <w:rPr>
          <w:strike/>
          <w:szCs w:val="22"/>
          <w:u w:val="single"/>
        </w:rPr>
        <w:t>não</w:t>
      </w:r>
      <w:r>
        <w:rPr>
          <w:strike/>
          <w:szCs w:val="22"/>
        </w:rPr>
        <w:t xml:space="preserve"> são da atribuição e camp</w:t>
      </w:r>
      <w:r>
        <w:rPr>
          <w:strike/>
          <w:szCs w:val="22"/>
        </w:rPr>
        <w:t>o de atuação dos arquitetos e urbanistas e, portanto, não podem constar em Registros de Responsabilidade Técnica (RRT) efetuados nos CAU/UF por meio do SICCAU; e</w:t>
      </w:r>
    </w:p>
    <w:p w:rsidR="0051633A" w:rsidRDefault="0051633A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51633A" w:rsidRDefault="0051633A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51633A" w:rsidRDefault="0051633A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lastRenderedPageBreak/>
        <w:t xml:space="preserve">2 – </w:t>
      </w:r>
      <w:r>
        <w:rPr>
          <w:rFonts w:ascii="Times New Roman" w:eastAsia="Calibri" w:hAnsi="Times New Roman"/>
          <w:strike/>
          <w:sz w:val="22"/>
          <w:szCs w:val="22"/>
        </w:rPr>
        <w:t>Encaminhar à Presidência do CAU/BR para conhecimento e encaminhamento de resposta ao CA</w:t>
      </w:r>
      <w:r>
        <w:rPr>
          <w:rFonts w:ascii="Times New Roman" w:eastAsia="Calibri" w:hAnsi="Times New Roman"/>
          <w:strike/>
          <w:sz w:val="22"/>
          <w:szCs w:val="22"/>
        </w:rPr>
        <w:t>U/RJ, por meio do protocolo em epígrafe, e solicitar o envio desta Deliberação à RIA para divulgação do teor aos CAU/UF.</w:t>
      </w:r>
    </w:p>
    <w:p w:rsidR="0051633A" w:rsidRDefault="0051633A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51633A" w:rsidRDefault="00B52879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01 de fevereiro de 2019.</w:t>
      </w:r>
    </w:p>
    <w:p w:rsidR="0051633A" w:rsidRDefault="0051633A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51633A" w:rsidRDefault="0051633A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51633A" w:rsidRDefault="00B52879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51633A" w:rsidRDefault="00B52879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51633A" w:rsidRDefault="0051633A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51633A" w:rsidRDefault="00B5287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</w:t>
      </w:r>
      <w:r>
        <w:rPr>
          <w:rFonts w:ascii="Times New Roman" w:hAnsi="Times New Roman"/>
          <w:b/>
          <w:sz w:val="22"/>
          <w:szCs w:val="22"/>
        </w:rPr>
        <w:t xml:space="preserve">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51633A" w:rsidRDefault="00B5287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51633A" w:rsidRDefault="0051633A"/>
    <w:p w:rsidR="0051633A" w:rsidRDefault="00B5287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51633A" w:rsidRDefault="00B5287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51633A" w:rsidRDefault="0051633A"/>
    <w:p w:rsidR="0051633A" w:rsidRDefault="00B52879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JOSEMEE GOMES DE 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51633A" w:rsidRDefault="00B5287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51633A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B52879">
      <w:r>
        <w:separator/>
      </w:r>
    </w:p>
  </w:endnote>
  <w:endnote w:type="continuationSeparator" w:id="0">
    <w:p w:rsidR="00000000" w:rsidRDefault="00B5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1727" w:rsidRDefault="00B52879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5A1727" w:rsidRDefault="00B52879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B52879">
      <w:r>
        <w:rPr>
          <w:color w:val="000000"/>
        </w:rPr>
        <w:separator/>
      </w:r>
    </w:p>
  </w:footnote>
  <w:footnote w:type="continuationSeparator" w:id="0">
    <w:p w:rsidR="00000000" w:rsidRDefault="00B52879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A1727" w:rsidRDefault="00B52879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633A"/>
    <w:rsid w:val="0051633A"/>
    <w:rsid w:val="00B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CB2FDB3-AD08-487B-93CE-7620D43C45B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pPr>
      <w:suppressAutoHyphens/>
    </w:pPr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2022-07-06T17:04:00Z</cp:lastPrinted>
  <dcterms:created xsi:type="dcterms:W3CDTF">2022-07-06T17:31:00Z</dcterms:created>
  <dcterms:modified xsi:type="dcterms:W3CDTF">2022-07-06T17:31:00Z</dcterms:modified>
</cp:coreProperties>
</file>