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B486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4861" w:rsidRDefault="00CE4D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4861" w:rsidRDefault="00CE4DD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741573/2018 e 776250/2018</w:t>
            </w:r>
          </w:p>
        </w:tc>
      </w:tr>
      <w:tr w:rsidR="00CB486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4861" w:rsidRDefault="00CE4D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4861" w:rsidRDefault="00CE4DDA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CB486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4861" w:rsidRDefault="00CE4D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B4861" w:rsidRDefault="00CE4DDA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Manifestação a pedido do CAU/RS em relação ao processo de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renovação de reconhecimento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Centro Universitário Assis Gurgacz (FAG)</w:t>
            </w:r>
          </w:p>
        </w:tc>
      </w:tr>
    </w:tbl>
    <w:p w:rsidR="00CB4861" w:rsidRDefault="00CE4DD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098/2018 – CEF-CAU/BR</w:t>
      </w:r>
    </w:p>
    <w:p w:rsidR="00CB4861" w:rsidRDefault="00CE4D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novembro de 2018, no uso das competências que lhe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ferem o art. 99 do Regimento Interno do CAU/BR, após análise do assunto em epígrafe, e</w:t>
      </w:r>
    </w:p>
    <w:p w:rsidR="00CB4861" w:rsidRDefault="00CB48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861" w:rsidRDefault="00CE4D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 nº 2/2007 que dispõe sobre carga horária mínima e procedimentos relativos à integralização e duração dos cursos de graduação, bacharelados,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modalidade presencial;</w:t>
      </w:r>
    </w:p>
    <w:p w:rsidR="00CB4861" w:rsidRDefault="00CB48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861" w:rsidRDefault="00CE4D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DPO/RS Nº 910/2018, que encaminha solicitação de esclarecimentos da CEF-CAU/RS acerca da oferta de curso com tempo de integralização inferior ao mínimo previsto pela Resolução CNE nº 2/2007,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elo curso de graduação em Arquitetura e Urbanismo de número 50235 do CENTRO UNIVERSITÁRIO ASSIS GURGACZ;</w:t>
      </w:r>
    </w:p>
    <w:p w:rsidR="00CB4861" w:rsidRDefault="00CB4861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CB4861" w:rsidRDefault="00CE4DDA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t>Considerando o Instrumento de Avaliação de Cursos de Graduação presencial e a distância - Reconhecimento e Renovação de Reconhecimento de Curso, códig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o de avaliação 99754, parte do processo de renovação de reconhecimento protocolo nº 201217145, com resultado publicado em 03 de outubro de 2016 por meio da portaria Portaria nº 578/2016, que em duas disposições finais considera que </w:t>
      </w:r>
      <w:r>
        <w:rPr>
          <w:rFonts w:ascii="Times New Roman" w:eastAsia="Times New Roman" w:hAnsi="Times New Roman"/>
          <w:bCs/>
          <w:i/>
          <w:sz w:val="22"/>
          <w:szCs w:val="22"/>
        </w:rPr>
        <w:t>“Os argumentos inseridos</w:t>
      </w:r>
      <w:r>
        <w:rPr>
          <w:rFonts w:ascii="Times New Roman" w:eastAsia="Times New Roman" w:hAnsi="Times New Roman"/>
          <w:bCs/>
          <w:i/>
          <w:sz w:val="22"/>
          <w:szCs w:val="22"/>
        </w:rPr>
        <w:t xml:space="preserve"> no PPC do Curso para a integralização em tempo inferior à Resolução CNE 04/2009, não justifica oferecimento Integral em 8 semestres, tempo inferior aos 5 anos estabelecidos para o Curso de Arquitetura e Urbanismo. São eles: demanda na cidade e região, mes</w:t>
      </w:r>
      <w:r>
        <w:rPr>
          <w:rFonts w:ascii="Times New Roman" w:eastAsia="Times New Roman" w:hAnsi="Times New Roman"/>
          <w:bCs/>
          <w:i/>
          <w:sz w:val="22"/>
          <w:szCs w:val="22"/>
        </w:rPr>
        <w:t>ma carga horária do curso Noturno de 10 semestres com igual qualidade. O Trabalho de Curso é realizado paralelamente a diversas outras unidades curriculares do Curso, diferente do Curso Noturno e para o estudante esse tempo maior para dedicação ao trabalho</w:t>
      </w:r>
      <w:r>
        <w:rPr>
          <w:rFonts w:ascii="Times New Roman" w:eastAsia="Times New Roman" w:hAnsi="Times New Roman"/>
          <w:bCs/>
          <w:i/>
          <w:sz w:val="22"/>
          <w:szCs w:val="22"/>
        </w:rPr>
        <w:t xml:space="preserve"> final é fundamental. Além disso, é fundamental que haja tempo suficiente para uma maturação razoável, aplicação e contextualização dos conhecimentos oferecidos ao longo da realização do curso de Arquitetura e Urbanismo, já discutidos anteriormente pelos p</w:t>
      </w:r>
      <w:r>
        <w:rPr>
          <w:rFonts w:ascii="Times New Roman" w:eastAsia="Times New Roman" w:hAnsi="Times New Roman"/>
          <w:bCs/>
          <w:i/>
          <w:sz w:val="22"/>
          <w:szCs w:val="22"/>
        </w:rPr>
        <w:t>areceristas e conselhos de classe. A aceitação do frágil argumento apresentado pela IES pode representar restrições às atribuições profissionais do arquiteto e urbanista.”</w:t>
      </w:r>
    </w:p>
    <w:p w:rsidR="00CB4861" w:rsidRDefault="00CB4861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CB4861" w:rsidRDefault="00CE4DDA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t>Considerando o Parecer Final do processo de renovação de reconhecimento protocolo n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º 201217145, com resultado publicado em 03 de outubro de 2016 por meio da portaria Portaria nº 578/2016, que sugere o deferimento, mas que, entretanto, concluí que </w:t>
      </w:r>
      <w:r>
        <w:rPr>
          <w:rFonts w:ascii="Times New Roman" w:eastAsia="Times New Roman" w:hAnsi="Times New Roman"/>
          <w:bCs/>
          <w:i/>
          <w:sz w:val="22"/>
          <w:szCs w:val="22"/>
        </w:rPr>
        <w:t>“(...) A IES deverá observar a legislação educacional, destacando-se os requisitos abaixo re</w:t>
      </w:r>
      <w:r>
        <w:rPr>
          <w:rFonts w:ascii="Times New Roman" w:eastAsia="Times New Roman" w:hAnsi="Times New Roman"/>
          <w:bCs/>
          <w:i/>
          <w:sz w:val="22"/>
          <w:szCs w:val="22"/>
        </w:rPr>
        <w:t>lacionados: (...) - o cumprimento de diretrizes curriculares nacionais, quando existentes para o curso, incluindo carga horária mínima exigida;(...)</w:t>
      </w:r>
    </w:p>
    <w:p w:rsidR="00CB4861" w:rsidRDefault="00CE4DDA">
      <w:pPr>
        <w:pStyle w:val="NormalWeb"/>
        <w:spacing w:before="2" w:after="2"/>
        <w:jc w:val="both"/>
      </w:pPr>
      <w:r>
        <w:rPr>
          <w:rFonts w:ascii="Times New Roman" w:eastAsia="Times New Roman" w:hAnsi="Times New Roman" w:cs="Calibri"/>
          <w:bCs/>
          <w:i/>
          <w:color w:val="000000"/>
          <w:sz w:val="22"/>
          <w:szCs w:val="22"/>
          <w:lang w:eastAsia="pt-BR"/>
        </w:rPr>
        <w:t>- o atendimento à legislação específica sobre tempo de integralização mínimo exigido para o curso;”</w:t>
      </w:r>
      <w:r>
        <w:rPr>
          <w:rFonts w:ascii="Times New Roman" w:eastAsia="Times New Roman" w:hAnsi="Times New Roman" w:cs="Calibri"/>
          <w:bCs/>
          <w:color w:val="000000"/>
          <w:sz w:val="22"/>
          <w:szCs w:val="22"/>
          <w:lang w:eastAsia="pt-BR"/>
        </w:rPr>
        <w:t xml:space="preserve"> e que </w:t>
      </w:r>
      <w:r>
        <w:rPr>
          <w:rFonts w:ascii="Times New Roman" w:eastAsia="Times New Roman" w:hAnsi="Times New Roman" w:cs="Calibri"/>
          <w:bCs/>
          <w:i/>
          <w:color w:val="000000"/>
          <w:sz w:val="22"/>
          <w:szCs w:val="22"/>
          <w:lang w:eastAsia="pt-BR"/>
        </w:rPr>
        <w:t>“Todos os requisitos legais deverão ser rigorosamente observados na próxima avaliação in loco relativa ao curso.</w:t>
      </w:r>
      <w:r>
        <w:rPr>
          <w:rFonts w:ascii="Verdana" w:hAnsi="Verdana"/>
          <w:color w:val="362B36"/>
          <w:sz w:val="17"/>
          <w:szCs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Calibri"/>
          <w:bCs/>
          <w:i/>
          <w:color w:val="000000"/>
          <w:sz w:val="22"/>
          <w:szCs w:val="22"/>
          <w:lang w:eastAsia="pt-BR"/>
        </w:rPr>
        <w:t>O não cumprimento de uma ou mais destas exigências legais poderá acarretar processo de supervisão pelo Ministério da Educação.”</w:t>
      </w:r>
    </w:p>
    <w:p w:rsidR="00CB4861" w:rsidRDefault="00CB4861"/>
    <w:p w:rsidR="00CB4861" w:rsidRDefault="00CE4DDA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t>Considerando q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ue a SERES/MEC teve acesso a informação de oferta do curso com tempo de integralização inferior ao disposto na </w:t>
      </w:r>
      <w:r>
        <w:rPr>
          <w:rFonts w:ascii="Times New Roman" w:eastAsia="Times New Roman" w:hAnsi="Times New Roman"/>
          <w:sz w:val="22"/>
          <w:szCs w:val="22"/>
        </w:rPr>
        <w:t xml:space="preserve">Resolução CNE nº 2/2007, analisou a questão e efetuou solicitações a IES, que deverão ser rigorosamente observadas na próxima avaliação in loco, </w:t>
      </w:r>
      <w:r>
        <w:rPr>
          <w:rFonts w:ascii="Times New Roman" w:eastAsia="Times New Roman" w:hAnsi="Times New Roman"/>
          <w:sz w:val="22"/>
          <w:szCs w:val="22"/>
        </w:rPr>
        <w:t>que esta avaliação ainda não ocorreu, e que foi publicada a portaria de renovação de reconhecimento com a ciência do MEC sobre a situação;</w:t>
      </w:r>
    </w:p>
    <w:p w:rsidR="00CB4861" w:rsidRDefault="00CB4861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CB4861" w:rsidRDefault="00CE4DDA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lastRenderedPageBreak/>
        <w:t xml:space="preserve">Considerando a Deliberação 056/2018 CEF-CAU/BR que </w:t>
      </w:r>
      <w:r>
        <w:rPr>
          <w:rFonts w:ascii="Times New Roman" w:eastAsia="Times New Roman" w:hAnsi="Times New Roman"/>
          <w:sz w:val="22"/>
          <w:szCs w:val="22"/>
        </w:rPr>
        <w:t xml:space="preserve">autoriza os CAU/UF a efetuar o registro dos egressos do curso de </w:t>
      </w:r>
      <w:r>
        <w:rPr>
          <w:rFonts w:ascii="Times New Roman" w:eastAsia="Times New Roman" w:hAnsi="Times New Roman"/>
          <w:sz w:val="22"/>
          <w:szCs w:val="22"/>
        </w:rPr>
        <w:t xml:space="preserve">graduação em Arquitetura e Urbanismo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de número 50235 do </w:t>
      </w:r>
      <w:r>
        <w:rPr>
          <w:rFonts w:ascii="Times New Roman" w:eastAsia="Times New Roman" w:hAnsi="Times New Roman"/>
          <w:sz w:val="22"/>
          <w:szCs w:val="22"/>
        </w:rPr>
        <w:t>CENTRO UNIVERSITÁRIO ASSIS GURGACZ, com base na portaria de renovação de reconhecimento 578 de 30/09/2016;</w:t>
      </w:r>
    </w:p>
    <w:p w:rsidR="00CB4861" w:rsidRDefault="00CB486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CB4861" w:rsidRDefault="00CE4DDA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Ofício PRES-CAU/RS nº 215/2018 que solicita que sejam adotadas providências m</w:t>
      </w:r>
      <w:r>
        <w:rPr>
          <w:rFonts w:ascii="Times New Roman" w:eastAsia="Times New Roman" w:hAnsi="Times New Roman"/>
          <w:sz w:val="22"/>
          <w:szCs w:val="22"/>
        </w:rPr>
        <w:t>ais rígidas na próxima avaliação, manifestando a insatisfação do CAU/RS com a renovação de reconhecimento de um curso sem o cumprimento dos normativos do MEC, alegando argumentação frágil para sua oferta em quatro anos;</w:t>
      </w:r>
    </w:p>
    <w:p w:rsidR="00CB4861" w:rsidRDefault="00CB486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CB4861" w:rsidRDefault="00CE4DDA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papel de interlocuçã</w:t>
      </w:r>
      <w:r>
        <w:rPr>
          <w:rFonts w:ascii="Times New Roman" w:eastAsia="Times New Roman" w:hAnsi="Times New Roman"/>
          <w:sz w:val="22"/>
          <w:szCs w:val="22"/>
        </w:rPr>
        <w:t>o do CAU/BR com o poder público federal, e a preocupação desta CEF-CAU/BR com o caso em tela;</w:t>
      </w:r>
    </w:p>
    <w:p w:rsidR="00CB4861" w:rsidRDefault="00CB4861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B48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B4861" w:rsidRDefault="00CB486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CB4861" w:rsidRDefault="00CE4DD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CB4861" w:rsidRDefault="00CE4DD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Oficiar a Secretaria de Regulação do Ensino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Superior do Ministério da Educação – SERES/MEC, manifestando a preocupação da CEF-CAU/BR com o processo de renovação de reconhecimento do curso em tela, frente à manifestação proferida no instrumento de avaliação de cursos anexo ao processo 201217145, reco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mendando avaliar a pertinência de abertura de processo de supervisão para verificar o cumprimento das recomendações realizadas;</w:t>
            </w:r>
          </w:p>
          <w:p w:rsidR="00CB4861" w:rsidRDefault="00CE4DD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Encaminhar cópia do ofício acima mencionado, para ciência, ao Conselho Nacional de Educação – CNE e ao Instituto Nacional de Est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udos e Pesquisas Educacionais Anísio Teixeira – INEP.</w:t>
            </w:r>
          </w:p>
          <w:p w:rsidR="00CB4861" w:rsidRDefault="00CE4DDA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Comunicar o CAU/RS a respeito das providências desta deliberação em resposta ao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Ofício PRES-CAU/RS nº 215/2018.</w:t>
            </w:r>
          </w:p>
          <w:p w:rsidR="00CB4861" w:rsidRDefault="00CB4861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CB4861" w:rsidRDefault="00CE4D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9 de novembro de 2018.</w:t>
      </w:r>
    </w:p>
    <w:p w:rsidR="00CB4861" w:rsidRDefault="00CB4861">
      <w:pPr>
        <w:jc w:val="center"/>
      </w:pPr>
    </w:p>
    <w:p w:rsidR="00CB4861" w:rsidRDefault="00CB4861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CB486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CB4861" w:rsidRDefault="00CE4DD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  <w:tr w:rsidR="00CB486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B48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B48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CB486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CB4861" w:rsidRDefault="00CE4DD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B4861" w:rsidRDefault="00CB48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486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CB4861" w:rsidRDefault="00CE4DD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B4861" w:rsidRDefault="00CB48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486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CB4861" w:rsidRDefault="00CE4DD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B4861" w:rsidRDefault="00CB48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486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CB4861" w:rsidRDefault="00CE4DD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CB4861" w:rsidRDefault="00CB4861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861" w:rsidRDefault="00CB48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B486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CB4861" w:rsidRDefault="00CE4DD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61" w:rsidRDefault="00CE4D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861" w:rsidRDefault="00CB486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CB4861" w:rsidRDefault="00CB4861">
      <w:pPr>
        <w:rPr>
          <w:rFonts w:ascii="Times New Roman" w:hAnsi="Times New Roman"/>
          <w:sz w:val="22"/>
          <w:szCs w:val="22"/>
          <w:u w:val="single"/>
        </w:rPr>
      </w:pPr>
    </w:p>
    <w:sectPr w:rsidR="00CB4861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DDA">
      <w:r>
        <w:separator/>
      </w:r>
    </w:p>
  </w:endnote>
  <w:endnote w:type="continuationSeparator" w:id="0">
    <w:p w:rsidR="00000000" w:rsidRDefault="00C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95" w:rsidRDefault="00CE4DD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B7E95" w:rsidRDefault="00CE4DD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1B7E95" w:rsidRDefault="00CE4DD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DDA">
      <w:r>
        <w:rPr>
          <w:color w:val="000000"/>
        </w:rPr>
        <w:separator/>
      </w:r>
    </w:p>
  </w:footnote>
  <w:footnote w:type="continuationSeparator" w:id="0">
    <w:p w:rsidR="00000000" w:rsidRDefault="00CE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95" w:rsidRDefault="00CE4DD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0811"/>
    <w:multiLevelType w:val="multilevel"/>
    <w:tmpl w:val="4CA6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AA3"/>
    <w:multiLevelType w:val="multilevel"/>
    <w:tmpl w:val="319EE2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861"/>
    <w:rsid w:val="00CB4861"/>
    <w:rsid w:val="00C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4837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2018-10-05T15:07:00Z</cp:lastPrinted>
  <dcterms:created xsi:type="dcterms:W3CDTF">2019-07-18T20:06:00Z</dcterms:created>
  <dcterms:modified xsi:type="dcterms:W3CDTF">2019-07-18T20:06:00Z</dcterms:modified>
</cp:coreProperties>
</file>