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5A4B62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A4B62" w:rsidRDefault="006275A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A4B62" w:rsidRDefault="006275A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673248/2018</w:t>
            </w:r>
            <w:bookmarkStart w:id="0" w:name="_GoBack"/>
            <w:bookmarkEnd w:id="0"/>
          </w:p>
        </w:tc>
      </w:tr>
      <w:tr w:rsidR="005A4B62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A4B62" w:rsidRDefault="006275A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A4B62" w:rsidRDefault="006275A1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CAU/SP e CEF-CAU/BR </w:t>
            </w:r>
          </w:p>
        </w:tc>
      </w:tr>
      <w:tr w:rsidR="005A4B62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A4B62" w:rsidRDefault="006275A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A4B62" w:rsidRDefault="006275A1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Regularidade do Reconhecimento dos cursos de Arquitetura e Urbanismo de números 1156001 e 1156002 da UNIVERSIDADE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PAULISTA </w:t>
            </w:r>
          </w:p>
        </w:tc>
      </w:tr>
    </w:tbl>
    <w:p w:rsidR="005A4B62" w:rsidRDefault="006275A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092/2018 – CEF-CAU/BR</w:t>
      </w:r>
    </w:p>
    <w:p w:rsidR="005A4B62" w:rsidRDefault="006275A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Brasília-DF, na sede do CAU/BR, nos dias 04 e 05 de outubro de 2018, no uso das competências que lhe conferem o art. 99 do Regimento Int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erno do CAU/BR, após análise do assunto em epígrafe, e</w:t>
      </w:r>
    </w:p>
    <w:p w:rsidR="005A4B62" w:rsidRDefault="006275A1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que o art. 6º da Lei 12378, de 31 de dezembro de 2010, determina que são requisitos para o registro capacidade civil e diploma de graduação em arquitetura e urbanismo, obtido em </w:t>
      </w:r>
      <w:r>
        <w:rPr>
          <w:sz w:val="22"/>
          <w:szCs w:val="22"/>
        </w:rPr>
        <w:t>instituição de ensino superior oficialmente reconhecida (grifo nosso) pelo poder público;</w:t>
      </w:r>
    </w:p>
    <w:p w:rsidR="005A4B62" w:rsidRDefault="006275A1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o Decreto nº 9.235, de 15 de dezembro de 2017, que dispõe sobre o exercício das funções de regulação, supervisão e avaliação das instituições de educação</w:t>
      </w:r>
      <w:r>
        <w:rPr>
          <w:sz w:val="22"/>
          <w:szCs w:val="22"/>
        </w:rPr>
        <w:t xml:space="preserve"> superior e dos cursos superiores de graduação e de pós-graduação no sistema federal de ensino, que no seu artigo 45 determina que o reconhecimento e o registro de curso são condições necessárias à validade nacional dos diplomas (grifo nosso);</w:t>
      </w:r>
    </w:p>
    <w:p w:rsidR="005A4B62" w:rsidRDefault="006275A1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</w:t>
      </w:r>
      <w:r>
        <w:rPr>
          <w:sz w:val="22"/>
          <w:szCs w:val="22"/>
        </w:rPr>
        <w:t xml:space="preserve"> os parágrafos 1º e 2º do artigo 45 Decreto nº 9235/2017, que complementam que o reconhecimento de curso presencial na sede não se estende às unidades fora de sede, para registro do diploma ou qualquer outro fim; e que o reconhecimento de curso presencial </w:t>
      </w:r>
      <w:r>
        <w:rPr>
          <w:sz w:val="22"/>
          <w:szCs w:val="22"/>
        </w:rPr>
        <w:t>em determinado Município se estende às unidades educacionais localizadas no mesmo Município, para registro do diploma ou qualquer outro fim, regulamentado pelo art. 30 da Portaria Normativa MEC nº 23/2017, de 21 de dezembro de 2017; e, considerando que a a</w:t>
      </w:r>
      <w:r>
        <w:rPr>
          <w:sz w:val="22"/>
          <w:szCs w:val="22"/>
        </w:rPr>
        <w:t>valiação do cumprimento destes requisitos compete a SERES-MEC;</w:t>
      </w:r>
    </w:p>
    <w:p w:rsidR="005A4B62" w:rsidRDefault="006275A1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que o Decreto nº 9.235, de 15 de dezembro de 2017, em seu art. 72 considera irregularidade administrativa, passíveis de aplicação de penalidades, a prestação de informações falsas </w:t>
      </w:r>
      <w:r>
        <w:rPr>
          <w:sz w:val="22"/>
          <w:szCs w:val="22"/>
        </w:rPr>
        <w:t>ao Ministério da Educação e omissão ou distorção de dados fornecidos aos cadastros e sistemas oficiais da educação superior, especialmente o Cadastro Nacional de Cursos e Instituições de Educação Superior - Cadastro e-MEC; e que conforme art. 103 as IES, i</w:t>
      </w:r>
      <w:r>
        <w:rPr>
          <w:sz w:val="22"/>
          <w:szCs w:val="22"/>
        </w:rPr>
        <w:t>ndependentemente do seu sistema de ensino, manterão seus dados atualizados junto ao Cadastro e-MEC, mantido pelo Ministério da Educação;</w:t>
      </w:r>
    </w:p>
    <w:p w:rsidR="005A4B62" w:rsidRDefault="006275A1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que os cursos em questão não possuem portaria de reconhecimento publicada, conforme dados do eMEC, e consi</w:t>
      </w:r>
      <w:r>
        <w:rPr>
          <w:sz w:val="22"/>
          <w:szCs w:val="22"/>
        </w:rPr>
        <w:t xml:space="preserve">derando a Deliberação 004/2018 CEF-CAU/BR que analisou a tempestividade dos cursos citados, constatando que não existe protocolo de solicitação de reconhecimento, e que entretanto, existem solicitações de registro de egressos apresentando documentação dos </w:t>
      </w:r>
      <w:r>
        <w:rPr>
          <w:sz w:val="22"/>
          <w:szCs w:val="22"/>
        </w:rPr>
        <w:t>referidos cursos;</w:t>
      </w:r>
    </w:p>
    <w:p w:rsidR="005A4B62" w:rsidRDefault="006275A1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a Deliberação 170/2017 CEF-CAU/BR que encaminhou consulta sobre os cursos de números 1156001 e 1156002 para a SERES-MEC, respondida através do Ofício nº 51/2018/GAB/SERES/SERES-MEC que esclarece que o curso ofertado no municí</w:t>
      </w:r>
      <w:r>
        <w:rPr>
          <w:sz w:val="22"/>
          <w:szCs w:val="22"/>
        </w:rPr>
        <w:t>pio de São Paulo (código 7273) está reconhecido, ato que abrange também os códigos 1156001 e 1156002, referentes a oferta nas unidades Anchieta e Chácara Santo Antônio, o que autoriza sejam os respectivos diplomas expedidos e registrados pela IES; e</w:t>
      </w:r>
    </w:p>
    <w:p w:rsidR="005A4B62" w:rsidRDefault="006275A1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</w:t>
      </w:r>
      <w:r>
        <w:rPr>
          <w:sz w:val="22"/>
          <w:szCs w:val="22"/>
        </w:rPr>
        <w:t>erando que o Curso código 7273 foi reconhecido através da Portaria 606 de 31/05/1995, tendo a última renovação de reconhecimento manifestada pela Portaria 1099 de 24/12/2015;</w:t>
      </w:r>
    </w:p>
    <w:p w:rsidR="005A4B62" w:rsidRDefault="005A4B62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5A4B6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B62" w:rsidRDefault="006275A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5A4B62" w:rsidRDefault="005A4B6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5A4B62" w:rsidRDefault="006275A1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Orientar os CAU/UF a registrar os egressos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dos cursos de Arquitetura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e Urbanismo de números 1156001 e 1156002 da UNIVERSIDADE PAULISTA, com base no reconhecimento do curso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lastRenderedPageBreak/>
              <w:t xml:space="preserve">7273, conforme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informação contida no Ofício nº 51/2018/GAB/SERES/SERES-MEC.</w:t>
            </w:r>
          </w:p>
          <w:p w:rsidR="005A4B62" w:rsidRDefault="005A4B62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5A4B62" w:rsidRDefault="006275A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conhecimento, solicitan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 encaminhar ao CAU/SP o conteúdo desta deliberação anexando o Ofício nº 51/2018/GAB/SERES/SERES-MEC e Informação Nº 2/2018/CGARCES/DIREG/SERES/SERES-MEC;</w:t>
            </w:r>
          </w:p>
        </w:tc>
      </w:tr>
      <w:tr w:rsidR="005A4B6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B62" w:rsidRDefault="005A4B6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5A4B62" w:rsidRDefault="006275A1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5 de outubro de 2018.</w:t>
      </w:r>
    </w:p>
    <w:p w:rsidR="005A4B62" w:rsidRDefault="005A4B6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A4B62" w:rsidRDefault="005A4B62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5A4B62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B62" w:rsidRDefault="006275A1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5A4B62" w:rsidRDefault="006275A1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:rsidR="005A4B62" w:rsidRDefault="005A4B62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B62" w:rsidRDefault="006275A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A4B62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B62" w:rsidRDefault="006275A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5A4B62" w:rsidRDefault="006275A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  <w:p w:rsidR="005A4B62" w:rsidRDefault="005A4B6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B62" w:rsidRDefault="006275A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A4B62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B62" w:rsidRDefault="006275A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5A4B62" w:rsidRDefault="006275A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5A4B62" w:rsidRDefault="005A4B6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B62" w:rsidRDefault="006275A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A4B62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B62" w:rsidRDefault="006275A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Alfredo Renato Pena Brana</w:t>
            </w:r>
          </w:p>
          <w:p w:rsidR="005A4B62" w:rsidRDefault="006275A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5A4B62" w:rsidRDefault="005A4B6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B62" w:rsidRDefault="006275A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A4B62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B62" w:rsidRDefault="006275A1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5A4B62" w:rsidRDefault="006275A1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5A4B62" w:rsidRDefault="005A4B62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B62" w:rsidRDefault="006275A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5A4B62" w:rsidRDefault="005A4B62">
      <w:pPr>
        <w:rPr>
          <w:rFonts w:ascii="Times New Roman" w:hAnsi="Times New Roman"/>
          <w:sz w:val="22"/>
          <w:szCs w:val="22"/>
          <w:u w:val="single"/>
        </w:rPr>
      </w:pPr>
    </w:p>
    <w:sectPr w:rsidR="005A4B62">
      <w:headerReference w:type="default" r:id="rId8"/>
      <w:footerReference w:type="default" r:id="rId9"/>
      <w:pgSz w:w="11900" w:h="16840"/>
      <w:pgMar w:top="1559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75A1">
      <w:r>
        <w:separator/>
      </w:r>
    </w:p>
  </w:endnote>
  <w:endnote w:type="continuationSeparator" w:id="0">
    <w:p w:rsidR="00000000" w:rsidRDefault="0062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69" w:rsidRDefault="006275A1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41A69" w:rsidRDefault="006275A1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AqcjIS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:rsidR="00241A69" w:rsidRDefault="006275A1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75A1">
      <w:r>
        <w:rPr>
          <w:color w:val="000000"/>
        </w:rPr>
        <w:separator/>
      </w:r>
    </w:p>
  </w:footnote>
  <w:footnote w:type="continuationSeparator" w:id="0">
    <w:p w:rsidR="00000000" w:rsidRDefault="00627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69" w:rsidRDefault="006275A1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F5611"/>
    <w:multiLevelType w:val="multilevel"/>
    <w:tmpl w:val="442EF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4B62"/>
    <w:rsid w:val="005A4B62"/>
    <w:rsid w:val="0062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3683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2017-03-27T18:24:00Z</cp:lastPrinted>
  <dcterms:created xsi:type="dcterms:W3CDTF">2019-07-18T20:01:00Z</dcterms:created>
  <dcterms:modified xsi:type="dcterms:W3CDTF">2019-07-18T20:01:00Z</dcterms:modified>
</cp:coreProperties>
</file>