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82414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4145" w:rsidRDefault="006D734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2414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4145" w:rsidRDefault="006D7349">
            <w:pPr>
              <w:spacing w:line="13.80pt" w:lineRule="auto"/>
              <w:ind w:start="92.15pt" w:hanging="92.15pt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/ CEF-CAU/BR / CEP-CAU/BR</w:t>
            </w:r>
          </w:p>
        </w:tc>
      </w:tr>
      <w:tr w:rsidR="0082414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4145" w:rsidRDefault="006D7349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Temporária de Registro</w:t>
            </w:r>
          </w:p>
        </w:tc>
      </w:tr>
    </w:tbl>
    <w:p w:rsidR="00824145" w:rsidRDefault="006D734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088/2018 – CEF-CAU/BR</w:t>
      </w:r>
    </w:p>
    <w:p w:rsidR="00824145" w:rsidRDefault="006D734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30 e 31 de agosto de 2018, no uso das competências que lhe conferem o art. 99 do Regimento Interno do CAU/BR, após análise do assunto em epígrafe, e</w:t>
      </w:r>
    </w:p>
    <w:p w:rsidR="00824145" w:rsidRDefault="00824145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824145" w:rsidRDefault="006D734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Parágrafo único do Art 6º do Regimento Interno do CABR/BR, determina que: Para o desempenho de atividades e funções específicas, o CAU/BR poderá instituir comissões temporárias, como órgãos consultivos, de acordo com os respectivos planos de ação e orçamento e Planejamento Estratégico do CAU;</w:t>
      </w:r>
    </w:p>
    <w:p w:rsidR="00824145" w:rsidRDefault="0082414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24145" w:rsidRDefault="006D734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o Art. 131 do Regimento Interno do CAU/BR, as comissões temporárias serão instituídas pelo Plenário, mediante proposta apresentada pela Presidência, ou mediante deliberação apresentada por comissão ordinária ou pelo Conselho Diretor;</w:t>
      </w:r>
    </w:p>
    <w:p w:rsidR="00824145" w:rsidRDefault="0082414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24145" w:rsidRDefault="006D734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o parágrafo único do Art. 131 do Regimento Interno do CAU/BR, as propostas ou deliberações para instituição de comissões temporárias deverão contemplar justificativa para criação, competências, calendário de atividades, dotação orçamentária, prazo de funcionamento e pertinência do tema às atividades do órgão proponente.</w:t>
      </w:r>
    </w:p>
    <w:p w:rsidR="00824145" w:rsidRDefault="0082414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24145" w:rsidRDefault="006D734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que hoje existem aproximadamente 20 Resoluções que tratam sobre o tema, necessitando de revisão ou compilação, além de matérias ainda não contempladas em resolução;</w:t>
      </w:r>
    </w:p>
    <w:p w:rsidR="00824145" w:rsidRDefault="008241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4145" w:rsidRDefault="006D734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tema Registro dispõe sobre:</w:t>
      </w:r>
    </w:p>
    <w:p w:rsidR="00824145" w:rsidRDefault="006D734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Registro definitivo, temporário e provisório de profissionais diplomados no país;</w:t>
      </w:r>
    </w:p>
    <w:p w:rsidR="00824145" w:rsidRDefault="006D734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Registro de diplomados no exterior;</w:t>
      </w:r>
    </w:p>
    <w:p w:rsidR="00824145" w:rsidRDefault="006D734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Registro, em caráter excepcional, de egressos de cursos de Arquitetura e Urbanismo não reconhecidos;</w:t>
      </w:r>
    </w:p>
    <w:p w:rsidR="00824145" w:rsidRDefault="006D734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Anotação de títulos de pós-graduação;</w:t>
      </w:r>
    </w:p>
    <w:p w:rsidR="00824145" w:rsidRDefault="006D734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Anotação de título de arquiteto e urbanista com especialização em Engenharia de Segurança do do Trabalho;</w:t>
      </w:r>
    </w:p>
    <w:p w:rsidR="00824145" w:rsidRDefault="006D734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Atualização cadastral;</w:t>
      </w:r>
    </w:p>
    <w:p w:rsidR="00824145" w:rsidRDefault="006D734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Numeração de registro;</w:t>
      </w:r>
    </w:p>
    <w:p w:rsidR="00824145" w:rsidRDefault="006D734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Registro de PJ, sociedades de PJ, sociedades com e sem personalidade jurídica, seções técnicas e as alterações desses registros;</w:t>
      </w:r>
    </w:p>
    <w:p w:rsidR="00824145" w:rsidRDefault="006D734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Registro temporário e baixa de registro de PJ estrangeira;</w:t>
      </w:r>
    </w:p>
    <w:p w:rsidR="00824145" w:rsidRDefault="006D734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Regulamentação das atividades de Extensão universitária;</w:t>
      </w:r>
    </w:p>
    <w:p w:rsidR="00824145" w:rsidRDefault="006D734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Registro de Empresa Jr e Escritório Modelo;</w:t>
      </w:r>
    </w:p>
    <w:p w:rsidR="00824145" w:rsidRDefault="00824145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4145" w:rsidRDefault="006D734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que a matéria “registro” engloba a revisão de diversos normativos relativos à habilitação de profissionais e empresas para o exercício regular de suas atividades profissionais, e que necessita do envolvimento de duas ou mais comissões ordinárias, sendo competências: </w:t>
      </w:r>
    </w:p>
    <w:p w:rsidR="00824145" w:rsidRDefault="006D7349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da CEF: Registro de profissionais (definitivo, provisório, temporário, de diplomado no Brasil e no exterior)</w:t>
      </w:r>
    </w:p>
    <w:p w:rsidR="00824145" w:rsidRDefault="006D7349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da CEP: Alterações do registro de profissionais (suspenção, interrupção, cancelamento, desligamento) e Registro de PJ;</w:t>
      </w:r>
    </w:p>
    <w:p w:rsidR="00824145" w:rsidRDefault="006D7349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Considerando que </w:t>
      </w:r>
      <w:r>
        <w:rPr>
          <w:rFonts w:ascii="Times New Roman" w:hAnsi="Times New Roman"/>
          <w:sz w:val="22"/>
          <w:szCs w:val="22"/>
        </w:rPr>
        <w:t>a matéria desencadeará alterações e ajustes nos nossos sistemas, com destaque para o SICCAU e IGEO;</w:t>
      </w:r>
    </w:p>
    <w:p w:rsidR="00824145" w:rsidRDefault="00824145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64"/>
      </w:tblGrid>
      <w:tr w:rsidR="00824145"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824145" w:rsidRDefault="0082414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24145" w:rsidRDefault="006D7349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Plano de Trabalho para Instrumentalização das ações voltadas para Registro;</w:t>
            </w:r>
          </w:p>
          <w:p w:rsidR="00824145" w:rsidRDefault="00824145">
            <w:pPr>
              <w:ind w:start="18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24145" w:rsidRDefault="006D7349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 ao Plenário do CAU/BR a instituição da “Comissão Temporária de Registro” seguindo o Plano de Trabalho com justificativa da criação, competências, calendário de atividades e dotação orçamentária;</w:t>
            </w:r>
          </w:p>
          <w:p w:rsidR="00824145" w:rsidRDefault="0082414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24145" w:rsidRDefault="006D7349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Indicar que o Plenário homologue a seguinte composição e Assessoria:</w:t>
            </w:r>
          </w:p>
          <w:p w:rsidR="00824145" w:rsidRDefault="006D7349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3.1- Composição (centro de Custo do CAU/BR):</w:t>
            </w:r>
          </w:p>
          <w:p w:rsidR="00824145" w:rsidRDefault="006D7349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1.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Conselheiro titular da CEF-CAU/BR; </w:t>
            </w:r>
          </w:p>
          <w:p w:rsidR="00824145" w:rsidRDefault="006D7349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2. Conselheiro titular da CEP-CAU/BR; </w:t>
            </w:r>
          </w:p>
          <w:p w:rsidR="00824145" w:rsidRDefault="006D7349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3. Representante indicado pelo Fórum de Presidentes do CAU;</w:t>
            </w:r>
          </w:p>
          <w:p w:rsidR="00824145" w:rsidRDefault="006D7349">
            <w:pPr>
              <w:ind w:start="70.90pt" w:firstLine="1.10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4. Profissionais com experiência ou conhecimento comprovado no tema (de acordo com a necessidade);</w:t>
            </w:r>
          </w:p>
          <w:p w:rsidR="00824145" w:rsidRDefault="006D7349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3.2 - Convidados (centro de Custo dos CAU/UF):</w:t>
            </w:r>
          </w:p>
          <w:p w:rsidR="00824145" w:rsidRDefault="006D7349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Representantes de CAU/UF;</w:t>
            </w:r>
          </w:p>
          <w:p w:rsidR="00824145" w:rsidRDefault="006D7349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2. Analistas Técnicos de CAU/UF;</w:t>
            </w:r>
          </w:p>
          <w:p w:rsidR="00824145" w:rsidRDefault="006D7349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3.3 - Assessoria (não necessita de Centro de Custo):</w:t>
            </w:r>
          </w:p>
          <w:p w:rsidR="00824145" w:rsidRDefault="006D7349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Analista Arquiteto vinculado à SGM;</w:t>
            </w:r>
          </w:p>
          <w:p w:rsidR="00824145" w:rsidRDefault="006D7349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2. Assessoria Jurídica;</w:t>
            </w:r>
          </w:p>
          <w:p w:rsidR="00824145" w:rsidRDefault="006D7349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3. Assessoria de Comunicação;</w:t>
            </w:r>
          </w:p>
          <w:p w:rsidR="00824145" w:rsidRDefault="006D7349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4. Representante da Gerência do CSC;</w:t>
            </w:r>
          </w:p>
          <w:p w:rsidR="00824145" w:rsidRDefault="00824145">
            <w:pPr>
              <w:jc w:val="both"/>
              <w:rPr>
                <w:rFonts w:ascii="Times New Roman" w:hAnsi="Times New Roman"/>
                <w:lang w:eastAsia="pt-BR"/>
              </w:rPr>
            </w:pPr>
          </w:p>
          <w:p w:rsidR="00824145" w:rsidRDefault="006D7349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membros da Comissão Temporária não terão suplentes;</w:t>
            </w:r>
          </w:p>
          <w:p w:rsidR="00824145" w:rsidRDefault="00824145">
            <w:pPr>
              <w:ind w:start="18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24145" w:rsidRDefault="006D7349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“Comissão Temporária de Registro” será constituída de 01 de fevereiro de 2019 a 31 de julho de 2019, podendo ser prorrogada por igual período;</w:t>
            </w:r>
          </w:p>
          <w:p w:rsidR="00824145" w:rsidRDefault="00824145">
            <w:pPr>
              <w:ind w:start="18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24145" w:rsidRDefault="006D7349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  <w:tr w:rsidR="00824145">
        <w:trPr>
          <w:trHeight w:val="567"/>
        </w:trPr>
        <w:tc>
          <w:tcPr>
            <w:tcW w:w="473.20pt" w:type="dxa"/>
            <w:tcBorders>
              <w:start w:val="single" w:sz="2" w:space="0" w:color="FFFFFF"/>
              <w:bottom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</w:tbl>
    <w:p w:rsidR="00824145" w:rsidRDefault="00D70EF4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 w:rsidR="006D7349">
        <w:t>Brasília</w:t>
      </w:r>
      <w:r>
        <w:fldChar w:fldCharType="end"/>
      </w:r>
      <w:r w:rsidR="006D7349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 w:rsidR="006D7349">
        <w:t>DF</w:t>
      </w:r>
      <w:r>
        <w:fldChar w:fldCharType="end"/>
      </w:r>
      <w:r w:rsidR="006D7349">
        <w:rPr>
          <w:rFonts w:ascii="Times New Roman" w:eastAsia="Times New Roman" w:hAnsi="Times New Roman"/>
          <w:sz w:val="22"/>
          <w:szCs w:val="22"/>
          <w:lang w:eastAsia="pt-BR"/>
        </w:rPr>
        <w:t xml:space="preserve">, 31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 w:rsidR="006D7349">
        <w:t>2018</w:t>
      </w:r>
      <w:r>
        <w:fldChar w:fldCharType="end"/>
      </w:r>
      <w:r w:rsidR="006D734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24145" w:rsidRDefault="0082414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4145" w:rsidRDefault="0082414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824145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D70EF4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 w:rsidR="006D7349">
              <w:t>Andrea Vilella</w:t>
            </w:r>
            <w:r>
              <w:fldChar w:fldCharType="end"/>
            </w:r>
          </w:p>
          <w:p w:rsidR="00824145" w:rsidRDefault="00D70EF4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 w:rsidR="006D7349">
              <w:t>Coordenadora</w:t>
            </w:r>
            <w:r>
              <w:fldChar w:fldCharType="end"/>
            </w:r>
          </w:p>
          <w:p w:rsidR="00824145" w:rsidRDefault="00824145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24145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D70EF4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 w:rsidR="006D7349">
              <w:t>Hélio Cavalcanti da Costa Lima</w:t>
            </w:r>
            <w:r>
              <w:fldChar w:fldCharType="end"/>
            </w:r>
          </w:p>
          <w:p w:rsidR="00824145" w:rsidRDefault="00D70EF4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 w:rsidR="006D7349">
              <w:t>Coordenador-Adjunto</w:t>
            </w:r>
            <w:r>
              <w:fldChar w:fldCharType="end"/>
            </w:r>
          </w:p>
          <w:p w:rsidR="00824145" w:rsidRDefault="0082414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24145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D70EF4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 w:rsidR="006D7349">
              <w:t>Humberto Mauro Andrade Cruz</w:t>
            </w:r>
            <w:r>
              <w:fldChar w:fldCharType="end"/>
            </w:r>
          </w:p>
          <w:p w:rsidR="00824145" w:rsidRDefault="00D70EF4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 w:rsidR="006D7349">
              <w:t>Membro</w:t>
            </w:r>
            <w:r>
              <w:fldChar w:fldCharType="end"/>
            </w:r>
          </w:p>
          <w:p w:rsidR="00824145" w:rsidRDefault="0082414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24145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D70EF4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 w:rsidR="006D7349">
              <w:t>Joselia da Silva Alves</w:t>
            </w:r>
            <w:r>
              <w:fldChar w:fldCharType="end"/>
            </w:r>
          </w:p>
          <w:p w:rsidR="00824145" w:rsidRDefault="00D70EF4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 w:rsidR="006D7349">
              <w:t>Membro</w:t>
            </w:r>
            <w:r>
              <w:fldChar w:fldCharType="end"/>
            </w:r>
          </w:p>
          <w:p w:rsidR="00824145" w:rsidRDefault="0082414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824145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D70EF4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 w:rsidR="006D7349">
              <w:t>Juliano Pamplona Ximenes Ponte</w:t>
            </w:r>
            <w:r>
              <w:fldChar w:fldCharType="end"/>
            </w:r>
          </w:p>
          <w:p w:rsidR="00824145" w:rsidRDefault="00D70EF4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 w:rsidR="006D7349">
              <w:t>Membro</w:t>
            </w:r>
            <w:r>
              <w:fldChar w:fldCharType="end"/>
            </w:r>
          </w:p>
          <w:p w:rsidR="00824145" w:rsidRDefault="00824145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24145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D70EF4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 w:rsidR="006D7349">
              <w:t>Roseana DE Almeida Vasconcelos</w:t>
            </w:r>
            <w:r>
              <w:fldChar w:fldCharType="end"/>
            </w:r>
          </w:p>
          <w:p w:rsidR="00824145" w:rsidRDefault="00D70EF4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 w:rsidR="006D7349">
              <w:t>Membro</w:t>
            </w:r>
            <w:r>
              <w:fldChar w:fldCharType="end"/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824145" w:rsidRDefault="006D7349">
      <w:pPr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ANEXO I - </w:t>
      </w:r>
      <w:r>
        <w:rPr>
          <w:rFonts w:ascii="Times New Roman" w:eastAsia="Arial" w:hAnsi="Times New Roman"/>
          <w:b/>
        </w:rPr>
        <w:t>PLANO DE TRABALHO</w:t>
      </w:r>
    </w:p>
    <w:p w:rsidR="00824145" w:rsidRDefault="00824145">
      <w:pPr>
        <w:spacing w:line="12.55pt" w:lineRule="auto"/>
        <w:jc w:val="both"/>
        <w:rPr>
          <w:rFonts w:ascii="Times New Roman" w:eastAsia="Times New Roman" w:hAnsi="Times New Roman"/>
        </w:rPr>
      </w:pPr>
    </w:p>
    <w:p w:rsidR="00824145" w:rsidRDefault="006D7349">
      <w:pPr>
        <w:keepNext/>
        <w:jc w:val="both"/>
      </w:pPr>
      <w:r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</w:rPr>
        <w:t xml:space="preserve">I - PROPOSTA DE TRABALHO </w:t>
      </w:r>
    </w:p>
    <w:p w:rsidR="00824145" w:rsidRDefault="00824145">
      <w:pPr>
        <w:rPr>
          <w:rFonts w:ascii="Times New Roman" w:eastAsia="Times New Roman" w:hAnsi="Times New Roman"/>
        </w:rPr>
      </w:pPr>
    </w:p>
    <w:tbl>
      <w:tblPr>
        <w:tblW w:w="101.0%" w:type="pct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947"/>
        <w:gridCol w:w="1501"/>
        <w:gridCol w:w="1847"/>
      </w:tblGrid>
      <w:tr w:rsidR="00824145">
        <w:trPr>
          <w:trHeight w:val="152"/>
        </w:trPr>
        <w:tc>
          <w:tcPr>
            <w:tcW w:w="480.3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numPr>
                <w:ilvl w:val="0"/>
                <w:numId w:val="4"/>
              </w:numPr>
              <w:tabs>
                <w:tab w:val="start" w:pos="-85.30pt"/>
                <w:tab w:val="start" w:pos="-72pt"/>
              </w:tabs>
              <w:suppressAutoHyphens w:val="0"/>
              <w:ind w:hanging="36p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824145">
        <w:trPr>
          <w:trHeight w:val="163"/>
        </w:trPr>
        <w:tc>
          <w:tcPr>
            <w:tcW w:w="308.3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Nome do Projeto</w:t>
            </w:r>
          </w:p>
          <w:p w:rsidR="00824145" w:rsidRDefault="0082414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  <w:p w:rsidR="00824145" w:rsidRDefault="006D7349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Comissão Temporária de Registro</w:t>
            </w:r>
          </w:p>
        </w:tc>
        <w:tc>
          <w:tcPr>
            <w:tcW w:w="171.9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Período de Execução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824145">
        <w:trPr>
          <w:trHeight w:val="163"/>
        </w:trPr>
        <w:tc>
          <w:tcPr>
            <w:tcW w:w="308.3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Início</w:t>
            </w:r>
          </w:p>
          <w:p w:rsidR="00824145" w:rsidRDefault="006D734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01-Fev-2019</w:t>
            </w:r>
          </w:p>
        </w:tc>
        <w:tc>
          <w:tcPr>
            <w:tcW w:w="94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Término</w:t>
            </w:r>
          </w:p>
          <w:p w:rsidR="00824145" w:rsidRDefault="006D7349">
            <w:pPr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31-Jul-2019</w:t>
            </w:r>
          </w:p>
        </w:tc>
      </w:tr>
      <w:tr w:rsidR="00824145">
        <w:trPr>
          <w:trHeight w:val="369"/>
        </w:trPr>
        <w:tc>
          <w:tcPr>
            <w:tcW w:w="480.3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Público Alvo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  </w:t>
            </w:r>
          </w:p>
          <w:p w:rsidR="00824145" w:rsidRDefault="00824145">
            <w:pPr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24145" w:rsidRDefault="006D734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CAU/BR, CAU/UF, Profissionais e Empresas de Arquitetura e Urbanismo</w:t>
            </w:r>
          </w:p>
        </w:tc>
      </w:tr>
      <w:tr w:rsidR="00824145">
        <w:trPr>
          <w:trHeight w:val="1134"/>
        </w:trPr>
        <w:tc>
          <w:tcPr>
            <w:tcW w:w="480.3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spacing w:after="6p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Objetivo </w:t>
            </w:r>
          </w:p>
          <w:p w:rsidR="00824145" w:rsidRDefault="006D7349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Estudar e analisar, visando a proposição de edição, Revisão e/ou Compilação de normativos referentes a: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 definitivo, temporário e provisório de profissionais diplomados no país;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 de diplomados no exterior;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Registro, em caráter excepcional, de egressos de cursos de Arquitetura e Urbanismo não reconhecidos;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Anotação de títulos de pós-graduação;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Anotação de título de arquiteto e urbanista com especialização em Engenharia de Segurança do Trabalho;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Atualização cadastral;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Numeração de registro;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 de PJ, sociedades de PJ, sociedades com e sem personalidade jurídica, seções técnicas e as alterações desses registros;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 temporário e baixa de registro de PJ estrangeira;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Regulamentação das atividades de Extensão universitária;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 de Empresa Jr e Escritório Modelo;</w:t>
            </w:r>
          </w:p>
          <w:p w:rsidR="00824145" w:rsidRDefault="00824145">
            <w:p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824145">
        <w:trPr>
          <w:trHeight w:val="1134"/>
        </w:trPr>
        <w:tc>
          <w:tcPr>
            <w:tcW w:w="480.3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spacing w:after="6pt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Justificativa do Projeto </w:t>
            </w:r>
          </w:p>
          <w:p w:rsidR="00824145" w:rsidRDefault="006D7349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Existem aproximadamente 20 Resoluções que tratam sobre o tema de registro, necessitando de revisão ou compilação, além de matérias ainda não contempladas em resolução. A matéria “registro” engloba a revisão de diversos normativos relativos à habilitação de profissionais e empresas para o exercício regular de suas atividades profissionais, e que necessita do envolvimento de duas ou mais comissões ordinárias. </w:t>
            </w:r>
          </w:p>
          <w:p w:rsidR="00824145" w:rsidRDefault="00824145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824145" w:rsidRDefault="006D7349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As competências quanto aos temas estão distribuídos, de maneira geral, da seguinte forma:</w:t>
            </w: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Competência da CEF: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 de profissionais (definitivo, provisório, temporário, de diplomado no Brasil e no exterior)</w:t>
            </w: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Competência da CEP: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Alterações do registro de profissionais (suspenção, interrupção, cancelamento, desligamento)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 de PJ</w:t>
            </w:r>
          </w:p>
          <w:p w:rsidR="00824145" w:rsidRDefault="00824145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824145" w:rsidRDefault="006D7349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lastRenderedPageBreak/>
              <w:t xml:space="preserve">Frente a estas competências, pontuamos abaixo as Resoluções vigentes que necessitam de análise, revisão, complementação e/ou compilação: </w:t>
            </w:r>
          </w:p>
          <w:p w:rsidR="00824145" w:rsidRDefault="00824145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824145" w:rsidRDefault="006D7349">
            <w:pPr>
              <w:pStyle w:val="PargrafodaLista"/>
              <w:ind w:start="0pt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>Pessoa Física (14 resoluções)</w:t>
            </w:r>
          </w:p>
          <w:p w:rsidR="00824145" w:rsidRDefault="00824145">
            <w:pPr>
              <w:pStyle w:val="PargrafodaLista"/>
              <w:ind w:start="0pt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  <w:p w:rsidR="00824145" w:rsidRDefault="006D7349">
            <w:pPr>
              <w:pStyle w:val="PargrafodaLista"/>
              <w:ind w:start="0pt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>Registro definitivos, temporários e provisório de profissionais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Nº 18 de 02/03/2012: </w:t>
            </w:r>
            <w:hyperlink r:id="rId7" w:history="1">
              <w:r>
                <w:rPr>
                  <w:rFonts w:ascii="Times New Roman" w:eastAsia="Times New Roman" w:hAnsi="Times New Roman"/>
                  <w:lang w:eastAsia="pt-BR"/>
                </w:rPr>
                <w:t>Registros definitivos e temporários de profissionais no Conselho de Arquitetura e Urbanismo.</w:t>
              </w:r>
            </w:hyperlink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Nº 32 (altera a Res. nº 18 e regula o registro provisório) de 02/08/2012: </w:t>
            </w:r>
            <w:hyperlink r:id="rId8" w:history="1">
              <w:r>
                <w:rPr>
                  <w:rFonts w:ascii="Times New Roman" w:eastAsia="Times New Roman" w:hAnsi="Times New Roman"/>
                  <w:lang w:eastAsia="pt-BR"/>
                </w:rPr>
                <w:t>Altera a Resolução n° 18, de 2012, que trata dos registros definitivos e temporários de profissionais no Conselho de Arquitetura e Urbanismo, regula o registro provisório e dá outras providências.</w:t>
              </w:r>
            </w:hyperlink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N° 85 ( altera a Res. nº 18 possibilitando a prorrogação do registro provisório) de 15/08/2014: </w:t>
            </w:r>
            <w:hyperlink r:id="rId9" w:history="1">
              <w:r>
                <w:rPr>
                  <w:rFonts w:ascii="Times New Roman" w:eastAsia="Times New Roman" w:hAnsi="Times New Roman"/>
                  <w:lang w:eastAsia="pt-BR"/>
                </w:rPr>
                <w:t>Altera a Resolução n° 18, de 2 de março de 2012, que dispõe sobre os registros de profissionais no Conselho de Arquitetura e Urbanismo, e dá outras providências.</w:t>
              </w:r>
            </w:hyperlink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N° 160 (altera a Res. nº 18 quanto aos prazos de início e de vigência do registro provisório de profissionais, e dá outras providências) de 23/03/2018: </w:t>
            </w:r>
            <w:hyperlink r:id="rId10" w:history="1">
              <w:r>
                <w:rPr>
                  <w:rFonts w:ascii="Times New Roman" w:eastAsia="Times New Roman" w:hAnsi="Times New Roman"/>
                  <w:lang w:eastAsia="pt-BR"/>
                </w:rPr>
                <w:t>Altera a Resolução CAU/BR n° 18, de 2012, quanto aos prazos de início e de vigência do registro provisório de profissionais, e dá outras providências.</w:t>
              </w:r>
            </w:hyperlink>
          </w:p>
          <w:p w:rsidR="00824145" w:rsidRDefault="006D7349">
            <w:pPr>
              <w:pStyle w:val="PargrafodaLista"/>
              <w:ind w:start="0pt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>Registro de diplomados no exterior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Nº 26 de 06/06/2012: </w:t>
            </w:r>
            <w:hyperlink r:id="rId11" w:history="1">
              <w:r>
                <w:rPr>
                  <w:rFonts w:ascii="Times New Roman" w:eastAsia="Times New Roman" w:hAnsi="Times New Roman"/>
                  <w:lang w:eastAsia="pt-BR"/>
                </w:rPr>
                <w:t>Dispõe sobre o registro de arquitetos e urbanistas, brasileiros ou estrangeiros portadores de visto permanente, diplomados por instituições de ensino estrangeiras, nos Conselhos de Arquitetura e Urbanismo dos Estados e do Distrito Federal (CAU/UF), e dá outras providências.</w:t>
              </w:r>
            </w:hyperlink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N° 63 (altera a Res. nº 26 , altera anexo I e outros procedimentos) de 08/11/2013: </w:t>
            </w:r>
            <w:hyperlink r:id="rId12" w:history="1">
              <w:r>
                <w:rPr>
                  <w:rFonts w:ascii="Times New Roman" w:eastAsia="Times New Roman" w:hAnsi="Times New Roman"/>
                  <w:lang w:eastAsia="pt-BR"/>
                </w:rPr>
                <w:t>Altera a Resolução CAU/BR n° 26, de 2012, que trata do registro de arquitetos e urbanistas, brasileiros ou estrangeiros portadores de visto permanente, diplomados por instituições de ensino estrangeiras, nos Conselhos de Arquitetura e Urbanismo dos Estados e do Distrito Federal (CAU/UF) e dá outras providências.</w:t>
              </w:r>
            </w:hyperlink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Nº 87 (altera a Res nº 26, altera e cria anexos e outros procedimentos) de 12/09/2014: </w:t>
            </w:r>
            <w:hyperlink r:id="rId13" w:history="1">
              <w:r>
                <w:rPr>
                  <w:rFonts w:ascii="Times New Roman" w:eastAsia="Times New Roman" w:hAnsi="Times New Roman"/>
                  <w:lang w:eastAsia="pt-BR"/>
                </w:rPr>
                <w:t>Altera a Resolução CAU/BR n° 26, de 2012, que dispõe sobre o registro de arquitetos e urbanistas, brasileiros ou estrangeiros portadores de visto permanente, diplomados por instituições de ensino estrangeiras, nos Conselhos de Arquitetura e Urbanismo dos Estados e do Distrito Federal (CAU/UF), e dá outras providências.</w:t>
              </w:r>
            </w:hyperlink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N° 123 (altera a Res. nº 26, necessidade de tradução juramentada) de 11/10/2016: </w:t>
            </w:r>
            <w:hyperlink r:id="rId14" w:history="1">
              <w:r>
                <w:rPr>
                  <w:rFonts w:ascii="Times New Roman" w:eastAsia="Times New Roman" w:hAnsi="Times New Roman"/>
                  <w:lang w:eastAsia="pt-BR"/>
                </w:rPr>
                <w:t>Altera a Resolução CAU/BR n° 26, de 2012, que dispõe sobre o registro de arquitetos e urbanistas, brasileiros ou estrangeiros portadores de visto permanente, diplomados por instituições de ensino superior estrangeiras, nos Conselhos de Arquitetura e Urbanismo dos Estados e do Distrito Federal (CAU/UF), e dá outras providências.</w:t>
              </w:r>
            </w:hyperlink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Nº 35 (deveria alterar a Res. 18 quanto ao procedimento para registro temporário) de 05/10/2012: </w:t>
            </w:r>
            <w:hyperlink r:id="rId15" w:history="1">
              <w:r>
                <w:rPr>
                  <w:rFonts w:ascii="Times New Roman" w:eastAsia="Times New Roman" w:hAnsi="Times New Roman"/>
                  <w:lang w:eastAsia="pt-BR"/>
                </w:rPr>
                <w:t>Dispõe sobre o registro temporário no Conselho de Arquitetura e Urbanismo (CAU) de arquitetos e urbanistas, brasileiros ou estrangeiros, diplomados no exterior, e dá outras providências</w:t>
              </w:r>
            </w:hyperlink>
          </w:p>
          <w:p w:rsidR="00824145" w:rsidRDefault="006D7349">
            <w:pPr>
              <w:pStyle w:val="PargrafodaLista"/>
              <w:ind w:start="0pt"/>
            </w:pP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lastRenderedPageBreak/>
              <w:t>Registro, em caráter excepcional, de egressos de cursos de Arquitetura e Urbanismo não reconhecidos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00"/>
                <w:lang w:eastAsia="pt-BR"/>
              </w:rPr>
              <w:t xml:space="preserve"> 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N° 83 de 25/07/2014: </w:t>
            </w:r>
            <w:hyperlink r:id="rId16" w:history="1">
              <w:r>
                <w:rPr>
                  <w:rFonts w:ascii="Times New Roman" w:eastAsia="Times New Roman" w:hAnsi="Times New Roman"/>
                  <w:lang w:eastAsia="pt-BR"/>
                </w:rPr>
                <w:t>Disciplina o registro, em caráter excepcional, em razão de ordem judicial, de arquitetos e urbanistas egressos de cursos de Arquitetura e Urbanismo não reconhecidos na forma da Lei n° 9.394, de 1996, e dá outras providências.</w:t>
              </w:r>
            </w:hyperlink>
          </w:p>
          <w:p w:rsidR="00824145" w:rsidRDefault="006D7349">
            <w:pPr>
              <w:pStyle w:val="PargrafodaLista"/>
              <w:ind w:start="0pt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>Registro de título de arquiteto e urbanista com especialização em Engenharia de Segurança do do Trabalho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Nº 10 de 16/01/2012: </w:t>
            </w:r>
            <w:hyperlink r:id="rId17" w:history="1">
              <w:r>
                <w:rPr>
                  <w:rFonts w:ascii="Times New Roman" w:eastAsia="Times New Roman" w:hAnsi="Times New Roman"/>
                  <w:lang w:eastAsia="pt-BR"/>
                </w:rPr>
                <w:t>Exercício profissional, registro e as atividades do arquiteto e urbanista com especialização em Engenharia de Segurança do Trabalho.</w:t>
              </w:r>
            </w:hyperlink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 RESOLUÇÃO N° 162 (revoga a Res. nº10) de 24/05/2018: </w:t>
            </w:r>
            <w:hyperlink r:id="rId18" w:history="1">
              <w:r>
                <w:rPr>
                  <w:rFonts w:ascii="Times New Roman" w:eastAsia="Times New Roman" w:hAnsi="Times New Roman"/>
                  <w:lang w:eastAsia="pt-BR"/>
                </w:rPr>
                <w:t>Dispõe sobre o registro do título complementar e o exercício das atividades do arquiteto e urbanista com especialização em Engenharia de Segurança do Trabalho e dá outras providências.</w:t>
              </w:r>
            </w:hyperlink>
          </w:p>
          <w:p w:rsidR="00824145" w:rsidRDefault="006D7349">
            <w:pPr>
              <w:pStyle w:val="PargrafodaLista"/>
              <w:ind w:start="0pt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>Numeração de registro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Nº 12 de 03/02/2012: </w:t>
            </w:r>
            <w:hyperlink r:id="rId19" w:history="1">
              <w:r>
                <w:rPr>
                  <w:rFonts w:ascii="Times New Roman" w:eastAsia="Times New Roman" w:hAnsi="Times New Roman"/>
                  <w:lang w:eastAsia="pt-BR"/>
                </w:rPr>
                <w:t>Numeração dos registros profissionais dos arquitetos e urbanistas no Conselho de Arquitetura e Urbanismo.</w:t>
              </w:r>
            </w:hyperlink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Nº 36 (altera Res. nº 12) de 09/11/2012: </w:t>
            </w:r>
            <w:hyperlink r:id="rId20" w:history="1">
              <w:r>
                <w:rPr>
                  <w:rFonts w:ascii="Times New Roman" w:eastAsia="Times New Roman" w:hAnsi="Times New Roman"/>
                  <w:lang w:eastAsia="pt-BR"/>
                </w:rPr>
                <w:t>Altera a Resolução CAU/BR n° 12, de 2012, que dispõe sobre a numeração dos registros profissionais dos arquitetos e urbanistas no Conselho de Arquitetura e Urbanismo e dá outras providências.</w:t>
              </w:r>
            </w:hyperlink>
          </w:p>
          <w:p w:rsidR="00824145" w:rsidRDefault="00824145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  <w:shd w:val="clear" w:color="auto" w:fill="FFFF00"/>
              </w:rPr>
            </w:pP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Pessoa Jurídica  (5 resoluções)</w:t>
            </w:r>
          </w:p>
          <w:p w:rsidR="00824145" w:rsidRDefault="00824145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Numeração de registro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Nº 13 de 03/02/2012: </w:t>
            </w:r>
            <w:hyperlink r:id="rId21" w:history="1">
              <w:r>
                <w:rPr>
                  <w:rFonts w:ascii="Times New Roman" w:eastAsia="Times New Roman" w:hAnsi="Times New Roman"/>
                  <w:lang w:eastAsia="pt-BR"/>
                </w:rPr>
                <w:t>Numeração dos registros profissionais das pessoas jurídicas com atividades na área de Arquitetura e Urbanismo no Conselho de Arquitetura e Urbanismo.</w:t>
              </w:r>
            </w:hyperlink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Registro de PJ, sociedades de PJ, sociedades com e sem personalidade jurídica, seções técnicas e as alterações desses registros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Nº 28 de 06/07/2012: </w:t>
            </w:r>
            <w:hyperlink r:id="rId22" w:history="1">
              <w:r>
                <w:rPr>
                  <w:rFonts w:ascii="Times New Roman" w:eastAsia="Times New Roman" w:hAnsi="Times New Roman"/>
                  <w:lang w:eastAsia="pt-BR"/>
                </w:rPr>
                <w:t>Dispõe sobre o registro e sobre a alteração e a baixa de registro de pessoa jurídica de Arquitetura e Urbanismo nos Conselhos de Arquitetura e Urbanismo dos Estados e do Distrito Federal e dá outras providências.</w:t>
              </w:r>
            </w:hyperlink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Atualização cadastral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N° 48 de 09/05/2013: </w:t>
            </w:r>
            <w:hyperlink r:id="rId23" w:history="1">
              <w:r>
                <w:rPr>
                  <w:rFonts w:ascii="Times New Roman" w:eastAsia="Times New Roman" w:hAnsi="Times New Roman"/>
                  <w:lang w:eastAsia="pt-BR"/>
                </w:rPr>
                <w:t>Dispõe sobre a atualização cadastral do registro de pessoa jurídica nos Conselhos de Arquitetura e Urbanismo dos Estados e do Distrito Federal, e dá outras providências.</w:t>
              </w:r>
            </w:hyperlink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Nº 59 (altera nº48) de 28/10/2013: </w:t>
            </w:r>
            <w:hyperlink r:id="rId24" w:history="1">
              <w:r>
                <w:rPr>
                  <w:rFonts w:ascii="Times New Roman" w:eastAsia="Times New Roman" w:hAnsi="Times New Roman"/>
                  <w:lang w:eastAsia="pt-BR"/>
                </w:rPr>
                <w:t>Altera a Resolução CAU/BR n° 48, de 2013, relativamente à atualização cadastral do registro de pessoa jurídica nos Conselhos de Arquitetura e Urbanismo dos Estados e do Distrito Federal, e dá outras providências.</w:t>
              </w:r>
            </w:hyperlink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Registro temporário e baixa de registro de PJ estrangeira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RESOLUÇÃO N° 49 de 07/06/2013: </w:t>
            </w:r>
            <w:hyperlink r:id="rId25" w:history="1">
              <w:r>
                <w:rPr>
                  <w:rFonts w:ascii="Times New Roman" w:eastAsia="Times New Roman" w:hAnsi="Times New Roman"/>
                  <w:lang w:eastAsia="pt-BR"/>
                </w:rPr>
                <w:t>Dispõe sobre o registro temporário e a baixa de registro de pessoa jurídica estrangeira nos Conselhos de Arquitetura e Urbanismo dos Estados e do Distrito Federal (CAU/UF), mediante constituição de sociedade personificada com pessoa jurídica brasileira, e dá outras providências.</w:t>
              </w:r>
            </w:hyperlink>
          </w:p>
          <w:p w:rsidR="00824145" w:rsidRDefault="00824145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824145" w:rsidRDefault="006D7349">
            <w:pPr>
              <w:spacing w:after="12pt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lastRenderedPageBreak/>
              <w:t>Conforme se pode observar, é urgente e necessária a revisão e consolidação das resoluções que tratam do registro profissional e de pessoa jurídica, bem como da atualização cadastral desses registros. Algumas dificuldades que podem ser relatadas: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Cadastros desatualizados que geram processos de cobranças e de fiscalização indevidos;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Ações judiciais de egressos que possuem seus registros indeferidos, sendo necessária a revisão de alguns entendimentos do CAU/BR;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Questionamentos quanto a obrigatoriedade de registro de Empresas Jr e Escritórios Modelos;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Questionamentos quanto a obrigatoriedade de registro de docentes (Decreto 9235/2017 “Art. 93.  O exercício de atividade docente na educação superior não se sujeita à inscrição do professor em órgão de regulamentação profissional.”); 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Necessidade da normatização do cadastro de seções técnicas (hoje a resolução nº 28 só fala de registro e existe um parecer da AGU que fala que seções técnicas não estão sujeitas a registro em Conselho)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Falta de procedimentos e rotinas unificadas nos CAU/UF. </w:t>
            </w:r>
          </w:p>
          <w:p w:rsidR="00824145" w:rsidRDefault="00824145">
            <w:pPr>
              <w:ind w:start="36pt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824145" w:rsidRDefault="006D7349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Além disso, tendo em vista a criação do SGI, as Comissões serão demandadas para a elaboração fluxos dos processos, e a criação dos documentos padrões para cada uma das etapas previstas, e há que se considerar que a matéria desencadeará alterações e ajustes nos nossos sistemas, com destaque para o SICCAU e IGEO;</w:t>
            </w:r>
          </w:p>
          <w:p w:rsidR="00824145" w:rsidRDefault="00824145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824145" w:rsidRDefault="006D7349">
            <w:pPr>
              <w:pStyle w:val="Default"/>
              <w:jc w:val="both"/>
            </w:pPr>
            <w:r>
              <w:rPr>
                <w:rFonts w:ascii="Times New Roman" w:eastAsia="Times New Roman" w:hAnsi="Times New Roman"/>
                <w:bCs/>
              </w:rPr>
              <w:t>Desta forma, o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tema de Registro, tanto profissional quanto de empresas envolve assuntos complexos, de competência de várias comissões e que atualmente não estão conseguindo ser desenvolvidos de forma produtiva nas comissões ordinárias, que tem diversos outros temas entre suas competências e atividades de rotina, justificando a criação de Comissão Temporária para tratar do tema.</w:t>
            </w:r>
          </w:p>
          <w:p w:rsidR="00824145" w:rsidRDefault="00824145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24145" w:rsidRDefault="006D7349">
            <w:pPr>
              <w:spacing w:after="12pt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A dotação orçamentária para o ano de 2019 será prevista e homologada no Plano de Ação 2019: </w:t>
            </w:r>
          </w:p>
          <w:p w:rsidR="00824145" w:rsidRDefault="006D7349">
            <w:pPr>
              <w:spacing w:after="12pt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Centro de Cursos: CAU/BR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br/>
              <w:t>Recursos Necessários: R$ 92.880,00 (noventa e dois mil oitocentos e oitenta reais), sendo que os recursos relativos a Analista Técnico para prestar assessoria à Comissão deverão ser absorvidos pela SGM-CAU/BR.</w:t>
            </w:r>
          </w:p>
        </w:tc>
      </w:tr>
      <w:tr w:rsidR="00824145">
        <w:trPr>
          <w:trHeight w:val="2119"/>
        </w:trPr>
        <w:tc>
          <w:tcPr>
            <w:tcW w:w="480.3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lastRenderedPageBreak/>
              <w:t>Resultados Esperados</w:t>
            </w:r>
          </w:p>
          <w:p w:rsidR="00824145" w:rsidRDefault="00824145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824145" w:rsidRDefault="006D7349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Produzir e encaminhar propostas de edição, revisão e/ou compilação de normativos referentes a: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 definitivo, temporário e provisório de profissionais diplomados no país;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 de diplomados no exterior;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Registro, em caráter excepcional, de egressos de cursos de Arquitetura e Urbanismo não reconhecidos;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Anotação de títulos de pós-graduação;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Anotação de título de arquiteto e urbanista com especialização em Engenharia de Segurança do Trabalho;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lastRenderedPageBreak/>
              <w:t>Atualização cadastral;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Numeração de registro;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 de PJ, sociedades de PJ, sociedades com e sem personalidade jurídica, seções técnicas e as alterações desses registros;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 temporário e baixa de registro de PJ estrangeira;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Regulamentação das atividades de Extensão universitária;</w:t>
            </w:r>
          </w:p>
          <w:p w:rsidR="00824145" w:rsidRDefault="006D7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Registro de Empresa Jr e Escritório Modelo;</w:t>
            </w:r>
          </w:p>
          <w:p w:rsidR="00824145" w:rsidRDefault="0082414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824145" w:rsidRDefault="00824145">
      <w:pPr>
        <w:rPr>
          <w:rFonts w:ascii="Calibri" w:eastAsia="Times New Roman" w:hAnsi="Calibri"/>
          <w:vanish/>
          <w:sz w:val="22"/>
          <w:szCs w:val="22"/>
          <w:lang w:eastAsia="pt-BR"/>
        </w:rPr>
      </w:pPr>
    </w:p>
    <w:p w:rsidR="00824145" w:rsidRDefault="00824145">
      <w:pPr>
        <w:spacing w:line="12.55pt" w:lineRule="auto"/>
        <w:jc w:val="both"/>
        <w:rPr>
          <w:rFonts w:ascii="Times New Roman" w:eastAsia="Times New Roman" w:hAnsi="Times New Roman"/>
          <w:b/>
        </w:rPr>
      </w:pPr>
    </w:p>
    <w:tbl>
      <w:tblPr>
        <w:tblW w:w="101.0%" w:type="pct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30"/>
        <w:gridCol w:w="1098"/>
        <w:gridCol w:w="1642"/>
        <w:gridCol w:w="1778"/>
        <w:gridCol w:w="1098"/>
        <w:gridCol w:w="689"/>
        <w:gridCol w:w="1098"/>
        <w:gridCol w:w="962"/>
      </w:tblGrid>
      <w:tr w:rsidR="00824145">
        <w:trPr>
          <w:trHeight w:val="152"/>
        </w:trPr>
        <w:tc>
          <w:tcPr>
            <w:tcW w:w="480.30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numPr>
                <w:ilvl w:val="0"/>
                <w:numId w:val="5"/>
              </w:numPr>
              <w:tabs>
                <w:tab w:val="start" w:pos="-72pt"/>
              </w:tabs>
              <w:suppressAutoHyphens w:val="0"/>
              <w:ind w:hanging="36p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 w:rsidR="00824145">
        <w:trPr>
          <w:trHeight w:val="387"/>
        </w:trPr>
        <w:tc>
          <w:tcPr>
            <w:tcW w:w="47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METAS</w:t>
            </w: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ETAPA OU FASE </w:t>
            </w:r>
          </w:p>
          <w:p w:rsidR="00824145" w:rsidRDefault="0082414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.0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ATIVIDADES</w:t>
            </w:r>
          </w:p>
          <w:p w:rsidR="00824145" w:rsidRDefault="00824145">
            <w:pPr>
              <w:spacing w:after="6p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2.1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92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106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824145">
        <w:trPr>
          <w:trHeight w:val="387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.0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2.1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Unidade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Início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Término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824145">
        <w:trPr>
          <w:trHeight w:val="387"/>
        </w:trPr>
        <w:tc>
          <w:tcPr>
            <w:tcW w:w="47.9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Registro de Pessoa Física</w:t>
            </w: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Análise e Revisão dos Normativos de Registro Profissional 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Registro definitivo, temporário e provisório de profissionais diplomados no país;</w:t>
            </w:r>
          </w:p>
        </w:tc>
        <w:tc>
          <w:tcPr>
            <w:tcW w:w="92.1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Nº 18 de 02/03/2012</w:t>
            </w:r>
          </w:p>
          <w:p w:rsidR="00824145" w:rsidRDefault="00824145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Nº 32 de 02/08/2012</w:t>
            </w: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 </w:t>
            </w:r>
          </w:p>
          <w:p w:rsidR="00824145" w:rsidRDefault="006D734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RESOLUÇÃO N° 85 de 15/08/2014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br/>
            </w: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N° 160 de 23/03/2018</w:t>
            </w:r>
          </w:p>
          <w:p w:rsidR="00824145" w:rsidRDefault="00824145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Nº 26 de 06/06/2012</w:t>
            </w:r>
          </w:p>
          <w:p w:rsidR="00824145" w:rsidRDefault="00824145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N° 63 de 08/11/2013</w:t>
            </w:r>
          </w:p>
          <w:p w:rsidR="00824145" w:rsidRDefault="00824145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Nº 87 de 12/09/2014</w:t>
            </w:r>
            <w:r>
              <w:rPr>
                <w:rFonts w:ascii="Times New Roman" w:eastAsia="Times New Roman" w:hAnsi="Times New Roman"/>
                <w:lang w:eastAsia="pt-BR"/>
              </w:rPr>
              <w:br/>
            </w: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N° 123 de 11/10/2016</w:t>
            </w:r>
          </w:p>
          <w:p w:rsidR="00824145" w:rsidRDefault="00824145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Nº 35 de 05/10/2012</w:t>
            </w:r>
          </w:p>
          <w:p w:rsidR="00824145" w:rsidRDefault="00824145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</w:p>
          <w:p w:rsidR="00824145" w:rsidRDefault="006D7349"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RESOLUÇÃO N° 83 de 25/07/2014</w:t>
            </w: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Reunião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35.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Fev-19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9.6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Mar-19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824145">
        <w:trPr>
          <w:trHeight w:val="387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Registro de diplomados no exterior;</w:t>
            </w:r>
          </w:p>
        </w:tc>
        <w:tc>
          <w:tcPr>
            <w:tcW w:w="92.1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35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49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</w:tr>
      <w:tr w:rsidR="00824145">
        <w:trPr>
          <w:trHeight w:val="387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Registro, em caráter excepcional, de egressos de cursos de Arquitetura e Urbanismo não reconhecidos;</w:t>
            </w:r>
          </w:p>
        </w:tc>
        <w:tc>
          <w:tcPr>
            <w:tcW w:w="92.1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35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49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</w:tr>
      <w:tr w:rsidR="00824145">
        <w:trPr>
          <w:trHeight w:val="387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Análise e Revisão dos Normativos de Anotação de Titulos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Anotação de títulos de pós-graduação;</w:t>
            </w:r>
          </w:p>
        </w:tc>
        <w:tc>
          <w:tcPr>
            <w:tcW w:w="92.1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pStyle w:val="NormalWeb"/>
              <w:shd w:val="clear" w:color="auto" w:fill="FFFFFF"/>
            </w:pPr>
            <w:r>
              <w:rPr>
                <w:rFonts w:ascii="Times New Roman" w:eastAsia="Times New Roman" w:hAnsi="Times New Roman"/>
                <w:lang w:eastAsia="pt-BR"/>
              </w:rPr>
              <w:t>RESOLUÇÃO Nº 10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 </w:t>
            </w:r>
            <w:r>
              <w:rPr>
                <w:rFonts w:ascii="Times New Roman" w:eastAsia="Times New Roman" w:hAnsi="Times New Roman"/>
                <w:lang w:eastAsia="pt-BR"/>
              </w:rPr>
              <w:t>de 16/01/2012</w:t>
            </w: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 </w:t>
            </w:r>
          </w:p>
          <w:p w:rsidR="00824145" w:rsidRDefault="006D7349">
            <w:pPr>
              <w:pStyle w:val="NormalWeb"/>
              <w:shd w:val="clear" w:color="auto" w:fill="FFFFFF"/>
            </w:pPr>
            <w:r>
              <w:rPr>
                <w:rFonts w:ascii="Times New Roman" w:eastAsia="Times New Roman" w:hAnsi="Times New Roman"/>
                <w:lang w:eastAsia="pt-BR"/>
              </w:rPr>
              <w:t>RESOLUÇÃO N° 162 (revoga a Res. nº10) de 24/05/2018</w:t>
            </w:r>
            <w:hyperlink r:id="rId26" w:history="1"/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35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49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</w:tr>
      <w:tr w:rsidR="00824145">
        <w:trPr>
          <w:trHeight w:val="387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Anotação de título de arquiteto e urbanista com especialização em Engenharia de Segurança do do Trabalho;</w:t>
            </w:r>
          </w:p>
        </w:tc>
        <w:tc>
          <w:tcPr>
            <w:tcW w:w="92.1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35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49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</w:tr>
      <w:tr w:rsidR="00824145">
        <w:trPr>
          <w:trHeight w:val="387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Análise e Revisão dos Normativos Auxiliares aos procedimentos de registro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Alterações de Registro;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pStyle w:val="NormalWeb"/>
              <w:shd w:val="clear" w:color="auto" w:fill="FFFFFF"/>
            </w:pPr>
            <w:r>
              <w:rPr>
                <w:rFonts w:ascii="Times New Roman" w:eastAsia="Times New Roman" w:hAnsi="Times New Roman"/>
                <w:lang w:eastAsia="pt-BR"/>
              </w:rPr>
              <w:t>CEP levará resolução que trata especificamente das alterações de registro de profissionais</w:t>
            </w: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35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49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</w:tr>
      <w:tr w:rsidR="00824145">
        <w:trPr>
          <w:trHeight w:val="387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Numeração de registro;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Nº 12 de 03/02/2012</w:t>
            </w:r>
          </w:p>
          <w:p w:rsidR="00824145" w:rsidRDefault="00824145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Nº 36 (altera Res. nº 12) de 09/11/2012</w:t>
            </w: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35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49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</w:tr>
      <w:tr w:rsidR="00824145">
        <w:trPr>
          <w:trHeight w:val="387"/>
        </w:trPr>
        <w:tc>
          <w:tcPr>
            <w:tcW w:w="47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Registro de Pessoa Jurídica</w:t>
            </w: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Análise e Revisão dos Normativos de Registro Pessoa Juridica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Registro de PJ, sociedades de PJ, sociedades com e sem personalidade jurídica, seções técnicas e as alterações desses registros;</w:t>
            </w:r>
          </w:p>
        </w:tc>
        <w:tc>
          <w:tcPr>
            <w:tcW w:w="92.1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Nº 28 de 06/07/2012</w:t>
            </w:r>
          </w:p>
          <w:p w:rsidR="00824145" w:rsidRDefault="008241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N° 49 de 07/06/2013</w:t>
            </w:r>
          </w:p>
          <w:p w:rsidR="00824145" w:rsidRDefault="00824145">
            <w:pP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Reunião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35.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2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Abr-19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9.6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Mai-19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824145">
        <w:trPr>
          <w:trHeight w:val="387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Registro temporário e baixa de registro de PJ estrangeira;</w:t>
            </w:r>
          </w:p>
        </w:tc>
        <w:tc>
          <w:tcPr>
            <w:tcW w:w="92.1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35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49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</w:tr>
      <w:tr w:rsidR="00824145">
        <w:trPr>
          <w:trHeight w:val="387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Análise e Revisão dos Normativos de Registro Não enquadradas como PJ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Regulamentação das atividades de Extensão universitária;</w:t>
            </w:r>
          </w:p>
        </w:tc>
        <w:tc>
          <w:tcPr>
            <w:tcW w:w="92.1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Protocolo SICCAU 684895/2018 - O CD deliberou que esse assunto é prioridade e que a CEF irá incluí-lo na pauta e desenvolverá um material para deliberação do Plenário;</w:t>
            </w: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35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49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</w:tr>
      <w:tr w:rsidR="00824145">
        <w:trPr>
          <w:trHeight w:val="387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Registro de Empresa Jr e Escritório Modelo;</w:t>
            </w:r>
          </w:p>
        </w:tc>
        <w:tc>
          <w:tcPr>
            <w:tcW w:w="92.1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35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49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</w:tr>
      <w:tr w:rsidR="00824145">
        <w:trPr>
          <w:trHeight w:val="387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Análise e Revisão dos Normativos Auxiliares aos procedimentos de registro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Atualização cadastral e Numeração de Registro;</w:t>
            </w:r>
          </w:p>
          <w:p w:rsidR="00824145" w:rsidRDefault="00824145">
            <w:pP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RESOLUÇÃO Nº 13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 03/02/2012</w:t>
            </w:r>
          </w:p>
          <w:p w:rsidR="00824145" w:rsidRDefault="008241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N° 48 de 09/05/2013</w:t>
            </w:r>
          </w:p>
          <w:p w:rsidR="00824145" w:rsidRDefault="00824145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</w:p>
          <w:p w:rsidR="00824145" w:rsidRDefault="006D7349">
            <w:pPr>
              <w:pStyle w:val="NormalWeb"/>
              <w:shd w:val="clear" w:color="auto" w:fill="FFFFFF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RESOLUÇÃO Nº 59 de 28/10/2013</w:t>
            </w: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35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  <w:tc>
          <w:tcPr>
            <w:tcW w:w="49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pt-BR"/>
              </w:rPr>
            </w:pPr>
          </w:p>
        </w:tc>
      </w:tr>
      <w:tr w:rsidR="00824145">
        <w:trPr>
          <w:trHeight w:val="864"/>
        </w:trPr>
        <w:tc>
          <w:tcPr>
            <w:tcW w:w="47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Encaminhamento de Propostas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Proposição de Anteprojetos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Proposição dos Anteprojetos ao Plenário e Comissões</w:t>
            </w:r>
          </w:p>
        </w:tc>
        <w:tc>
          <w:tcPr>
            <w:tcW w:w="92.1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Conforme Resolução CAU/BR 104/2015 </w:t>
            </w: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Reunião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5.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Jun-19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9.6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Jun-19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824145">
        <w:trPr>
          <w:trHeight w:val="545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Consultas Públicas 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Consulta Pública</w:t>
            </w:r>
          </w:p>
        </w:tc>
        <w:tc>
          <w:tcPr>
            <w:tcW w:w="92.1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5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9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824145">
        <w:trPr>
          <w:trHeight w:val="509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Contribuições e Adequações</w:t>
            </w:r>
          </w:p>
        </w:tc>
        <w:tc>
          <w:tcPr>
            <w:tcW w:w="92.1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Reunião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5.4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Jul-19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9.6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Jul-19</w:t>
            </w:r>
          </w:p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824145">
        <w:trPr>
          <w:trHeight w:val="843"/>
        </w:trPr>
        <w:tc>
          <w:tcPr>
            <w:tcW w:w="47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Proposição ao Plenário e Comissões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6D7349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Proposição ao Plenário e Comissões</w:t>
            </w:r>
          </w:p>
        </w:tc>
        <w:tc>
          <w:tcPr>
            <w:tcW w:w="92.1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5.4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49.6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</w:tbl>
    <w:p w:rsidR="00824145" w:rsidRDefault="00824145">
      <w:pPr>
        <w:spacing w:line="12.55pt" w:lineRule="auto"/>
        <w:jc w:val="both"/>
        <w:rPr>
          <w:rFonts w:ascii="Times New Roman" w:eastAsia="Times New Roman" w:hAnsi="Times New Roman"/>
          <w:b/>
        </w:rPr>
      </w:pPr>
    </w:p>
    <w:p w:rsidR="00824145" w:rsidRDefault="006D7349">
      <w:pPr>
        <w:spacing w:line="12.55pt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III - PLANO DE APLICAÇÃO DOS RECURSOS FINANCEIROS (R$ 1,00) </w:t>
      </w:r>
    </w:p>
    <w:p w:rsidR="00824145" w:rsidRDefault="006D7349">
      <w:pPr>
        <w:spacing w:line="12.55pt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tbl>
      <w:tblPr>
        <w:tblW w:w="482pt" w:type="dxa"/>
        <w:tblInd w:w="0.3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72"/>
        <w:gridCol w:w="4032"/>
        <w:gridCol w:w="1417"/>
        <w:gridCol w:w="1418"/>
        <w:gridCol w:w="1701"/>
      </w:tblGrid>
      <w:tr w:rsidR="00824145">
        <w:trPr>
          <w:trHeight w:val="152"/>
        </w:trPr>
        <w:tc>
          <w:tcPr>
            <w:tcW w:w="482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numPr>
                <w:ilvl w:val="0"/>
                <w:numId w:val="5"/>
              </w:numPr>
              <w:tabs>
                <w:tab w:val="start" w:pos="-72pt"/>
              </w:tabs>
              <w:suppressAutoHyphens w:val="0"/>
              <w:ind w:hanging="36p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824145">
        <w:trPr>
          <w:trHeight w:val="284"/>
        </w:trPr>
        <w:tc>
          <w:tcPr>
            <w:tcW w:w="255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Natureza da Despesa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824145">
        <w:trPr>
          <w:trHeight w:val="337"/>
        </w:trPr>
        <w:tc>
          <w:tcPr>
            <w:tcW w:w="255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Concedente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Total</w:t>
            </w:r>
          </w:p>
        </w:tc>
      </w:tr>
      <w:tr w:rsidR="00824145">
        <w:trPr>
          <w:trHeight w:val="387"/>
        </w:trPr>
        <w:tc>
          <w:tcPr>
            <w:tcW w:w="5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Atividades da Comissão</w:t>
            </w:r>
          </w:p>
        </w:tc>
        <w:tc>
          <w:tcPr>
            <w:tcW w:w="20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 Reuniões Ordinárias (Previsão de 1 diária + deslocamento + passagem conforme tabela do CAU/BR para: 3 conselheiros e 1 convidado por reunião)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92.880,00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824145" w:rsidRDefault="006D73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92.880,00</w:t>
            </w:r>
          </w:p>
        </w:tc>
      </w:tr>
      <w:tr w:rsidR="00824145">
        <w:trPr>
          <w:trHeight w:val="387"/>
        </w:trPr>
        <w:tc>
          <w:tcPr>
            <w:tcW w:w="326.0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end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TOTAL: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R$ 92.880,00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R$ 92.880,00</w:t>
            </w:r>
          </w:p>
        </w:tc>
      </w:tr>
    </w:tbl>
    <w:p w:rsidR="00824145" w:rsidRDefault="00824145">
      <w:pPr>
        <w:autoSpaceDE w:val="0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</w:p>
    <w:p w:rsidR="00824145" w:rsidRDefault="00824145">
      <w:pPr>
        <w:autoSpaceDE w:val="0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</w:p>
    <w:p w:rsidR="00824145" w:rsidRDefault="00824145">
      <w:pPr>
        <w:autoSpaceDE w:val="0"/>
        <w:rPr>
          <w:rFonts w:ascii="Times New Roman" w:hAnsi="Times New Roman"/>
          <w:i/>
          <w:color w:val="000000"/>
          <w:sz w:val="18"/>
          <w:szCs w:val="18"/>
          <w:lang w:eastAsia="pt-BR"/>
        </w:rPr>
      </w:pPr>
    </w:p>
    <w:p w:rsidR="00824145" w:rsidRDefault="006D7349">
      <w:pPr>
        <w:keepNext/>
        <w:ind w:start="7.10pt"/>
        <w:jc w:val="both"/>
      </w:pPr>
      <w:r>
        <w:rPr>
          <w:rFonts w:ascii="Times New Roman" w:eastAsia="Times New Roman" w:hAnsi="Times New Roman"/>
          <w:b/>
        </w:rPr>
        <w:t xml:space="preserve">IV - CRONOGRAMA DE DESEMBOLSO (R$ 1,00) </w:t>
      </w:r>
    </w:p>
    <w:p w:rsidR="00824145" w:rsidRDefault="00824145">
      <w:pPr>
        <w:rPr>
          <w:rFonts w:ascii="Times New Roman" w:eastAsia="Times New Roman" w:hAnsi="Times New Roman"/>
        </w:rPr>
      </w:pPr>
    </w:p>
    <w:tbl>
      <w:tblPr>
        <w:tblW w:w="103.0%" w:type="pct"/>
        <w:tblInd w:w="-14.1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418"/>
        <w:gridCol w:w="708"/>
        <w:gridCol w:w="690"/>
        <w:gridCol w:w="730"/>
        <w:gridCol w:w="690"/>
        <w:gridCol w:w="712"/>
        <w:gridCol w:w="724"/>
        <w:gridCol w:w="688"/>
        <w:gridCol w:w="692"/>
        <w:gridCol w:w="746"/>
        <w:gridCol w:w="702"/>
        <w:gridCol w:w="718"/>
        <w:gridCol w:w="562"/>
      </w:tblGrid>
      <w:tr w:rsidR="00824145">
        <w:trPr>
          <w:trHeight w:val="152"/>
        </w:trPr>
        <w:tc>
          <w:tcPr>
            <w:tcW w:w="489.10pt" w:type="dxa"/>
            <w:gridSpan w:val="1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numPr>
                <w:ilvl w:val="0"/>
                <w:numId w:val="5"/>
              </w:numPr>
              <w:tabs>
                <w:tab w:val="start" w:pos="-72pt"/>
              </w:tabs>
              <w:suppressAutoHyphens w:val="0"/>
              <w:ind w:hanging="36p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 w:rsidR="00824145">
        <w:trPr>
          <w:trHeight w:val="284"/>
        </w:trPr>
        <w:tc>
          <w:tcPr>
            <w:tcW w:w="70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824145" w:rsidRDefault="0082414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18.15pt" w:type="dxa"/>
            <w:gridSpan w:val="1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Ano: 2019</w:t>
            </w:r>
          </w:p>
        </w:tc>
      </w:tr>
      <w:tr w:rsidR="00824145">
        <w:trPr>
          <w:trHeight w:val="788"/>
        </w:trPr>
        <w:tc>
          <w:tcPr>
            <w:tcW w:w="70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34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FEV</w:t>
            </w:r>
          </w:p>
        </w:tc>
        <w:tc>
          <w:tcPr>
            <w:tcW w:w="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34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3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MAI</w:t>
            </w:r>
          </w:p>
        </w:tc>
        <w:tc>
          <w:tcPr>
            <w:tcW w:w="3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3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34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3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35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3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NOV</w:t>
            </w:r>
          </w:p>
        </w:tc>
        <w:tc>
          <w:tcPr>
            <w:tcW w:w="28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DEZ</w:t>
            </w:r>
          </w:p>
        </w:tc>
      </w:tr>
      <w:tr w:rsidR="00824145">
        <w:trPr>
          <w:trHeight w:val="389"/>
        </w:trPr>
        <w:tc>
          <w:tcPr>
            <w:tcW w:w="7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Atividades da Comissão</w:t>
            </w:r>
          </w:p>
        </w:tc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34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15.480</w:t>
            </w:r>
          </w:p>
        </w:tc>
        <w:tc>
          <w:tcPr>
            <w:tcW w:w="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15.480</w:t>
            </w:r>
          </w:p>
        </w:tc>
        <w:tc>
          <w:tcPr>
            <w:tcW w:w="34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15.480</w:t>
            </w:r>
          </w:p>
        </w:tc>
        <w:tc>
          <w:tcPr>
            <w:tcW w:w="3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15.480</w:t>
            </w:r>
          </w:p>
        </w:tc>
        <w:tc>
          <w:tcPr>
            <w:tcW w:w="3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15.480</w:t>
            </w:r>
          </w:p>
        </w:tc>
        <w:tc>
          <w:tcPr>
            <w:tcW w:w="3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15.480</w:t>
            </w:r>
          </w:p>
        </w:tc>
        <w:tc>
          <w:tcPr>
            <w:tcW w:w="34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3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35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3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28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8241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824145">
        <w:trPr>
          <w:trHeight w:val="389"/>
        </w:trPr>
        <w:tc>
          <w:tcPr>
            <w:tcW w:w="425.10pt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end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TOTAL:</w:t>
            </w:r>
          </w:p>
        </w:tc>
        <w:tc>
          <w:tcPr>
            <w:tcW w:w="64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4145" w:rsidRDefault="006D734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R$ 92.880,00</w:t>
            </w:r>
          </w:p>
        </w:tc>
      </w:tr>
    </w:tbl>
    <w:p w:rsidR="00824145" w:rsidRDefault="00824145">
      <w:pPr>
        <w:rPr>
          <w:rFonts w:ascii="Times New Roman" w:eastAsia="Times New Roman" w:hAnsi="Times New Roman"/>
        </w:rPr>
      </w:pPr>
    </w:p>
    <w:p w:rsidR="00824145" w:rsidRDefault="00824145">
      <w:pPr>
        <w:rPr>
          <w:rFonts w:ascii="Times New Roman" w:eastAsia="Times New Roman" w:hAnsi="Times New Roman"/>
          <w:i/>
          <w:sz w:val="22"/>
          <w:szCs w:val="22"/>
          <w:lang w:eastAsia="pt-BR"/>
        </w:rPr>
      </w:pPr>
    </w:p>
    <w:p w:rsidR="00824145" w:rsidRDefault="00824145">
      <w:pPr>
        <w:pStyle w:val="NormalWeb"/>
        <w:shd w:val="clear" w:color="auto" w:fill="FFFFFF"/>
        <w:rPr>
          <w:rFonts w:ascii="Times New Roman" w:eastAsia="Times New Roman" w:hAnsi="Times New Roman"/>
          <w:lang w:eastAsia="pt-BR"/>
        </w:rPr>
      </w:pPr>
    </w:p>
    <w:p w:rsidR="00824145" w:rsidRDefault="00824145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sectPr w:rsidR="00824145">
      <w:headerReference w:type="default" r:id="rId27"/>
      <w:footerReference w:type="default" r:id="rId28"/>
      <w:pgSz w:w="595pt" w:h="842pt"/>
      <w:pgMar w:top="92.15pt" w:right="77.95pt" w:bottom="99.25pt" w:left="56.40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70EF4" w:rsidRDefault="00D70EF4">
      <w:r>
        <w:separator/>
      </w:r>
    </w:p>
  </w:endnote>
  <w:endnote w:type="continuationSeparator" w:id="0">
    <w:p w:rsidR="00D70EF4" w:rsidRDefault="00D7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81C3C" w:rsidRDefault="006D734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6614797</wp:posOffset>
          </wp:positionH>
          <wp:positionV relativeFrom="paragraph">
            <wp:posOffset>-196852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981C3C" w:rsidRDefault="006D734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400CD3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70EF4" w:rsidRDefault="00D70EF4">
      <w:r>
        <w:rPr>
          <w:color w:val="000000"/>
        </w:rPr>
        <w:separator/>
      </w:r>
    </w:p>
  </w:footnote>
  <w:footnote w:type="continuationSeparator" w:id="0">
    <w:p w:rsidR="00D70EF4" w:rsidRDefault="00D70EF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81C3C" w:rsidRDefault="006D734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7A74317"/>
    <w:multiLevelType w:val="multilevel"/>
    <w:tmpl w:val="3BC69446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75267FE"/>
    <w:multiLevelType w:val="multilevel"/>
    <w:tmpl w:val="99EED744"/>
    <w:lvl w:ilvl="0">
      <w:start w:val="1"/>
      <w:numFmt w:val="decimal"/>
      <w:lvlText w:val="%1."/>
      <w:lvlJc w:val="start"/>
      <w:pPr>
        <w:ind w:start="36pt" w:hanging="18pt"/>
      </w:pPr>
      <w:rPr>
        <w:sz w:val="20"/>
        <w:szCs w:val="2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5FAE70F6"/>
    <w:multiLevelType w:val="multilevel"/>
    <w:tmpl w:val="DA5E01B0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3" w15:restartNumberingAfterBreak="0">
    <w:nsid w:val="65F23462"/>
    <w:multiLevelType w:val="multilevel"/>
    <w:tmpl w:val="8402A016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6C7B780C"/>
    <w:multiLevelType w:val="multilevel"/>
    <w:tmpl w:val="47F02F70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45"/>
    <w:rsid w:val="00400CD3"/>
    <w:rsid w:val="0044034C"/>
    <w:rsid w:val="006D6802"/>
    <w:rsid w:val="006D7349"/>
    <w:rsid w:val="00824145"/>
    <w:rsid w:val="009F057C"/>
    <w:rsid w:val="00D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E45F177-E92A-4275-BFE9-1D17C56BCE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caubr.gov.br/resolucao32" TargetMode="External"/><Relationship Id="rId13" Type="http://purl.oclc.org/ooxml/officeDocument/relationships/hyperlink" Target="http://www.caubr.gov.br/resolucao87" TargetMode="External"/><Relationship Id="rId18" Type="http://purl.oclc.org/ooxml/officeDocument/relationships/hyperlink" Target="http://www.caubr.gov.br/wp-content/uploads/2018/07/RES162-2018648125.2018.1164034__DPOBR_0078-08_201828052018162253ESTFINAL.pdf" TargetMode="External"/><Relationship Id="rId26" Type="http://purl.oclc.org/ooxml/officeDocument/relationships/hyperlink" Target="http://www.caubr.gov.br/wp-content/uploads/2018/07/RES162-2018648125.2018.1164034__DPOBR_0078-08_201828052018162253ESTFINAL.pdf" TargetMode="External"/><Relationship Id="rId3" Type="http://purl.oclc.org/ooxml/officeDocument/relationships/settings" Target="settings.xml"/><Relationship Id="rId21" Type="http://purl.oclc.org/ooxml/officeDocument/relationships/hyperlink" Target="http://www.caubr.gov.br/resolucao13" TargetMode="External"/><Relationship Id="rId7" Type="http://purl.oclc.org/ooxml/officeDocument/relationships/hyperlink" Target="http://www.caubr.gov.br/resolucao18" TargetMode="External"/><Relationship Id="rId12" Type="http://purl.oclc.org/ooxml/officeDocument/relationships/hyperlink" Target="http://www.caubr.gov.br/resolucao63" TargetMode="External"/><Relationship Id="rId17" Type="http://purl.oclc.org/ooxml/officeDocument/relationships/hyperlink" Target="http://www.caubr.gov.br/resolucao10" TargetMode="External"/><Relationship Id="rId25" Type="http://purl.oclc.org/ooxml/officeDocument/relationships/hyperlink" Target="http://www.caubr.gov.br/resolucao49" TargetMode="External"/><Relationship Id="rId2" Type="http://purl.oclc.org/ooxml/officeDocument/relationships/styles" Target="styles.xml"/><Relationship Id="rId16" Type="http://purl.oclc.org/ooxml/officeDocument/relationships/hyperlink" Target="http://www.caubr.gov.br/resolucao83" TargetMode="External"/><Relationship Id="rId20" Type="http://purl.oclc.org/ooxml/officeDocument/relationships/hyperlink" Target="http://www.caubr.gov.br/resolucao36" TargetMode="External"/><Relationship Id="rId29" Type="http://purl.oclc.org/ooxml/officeDocument/relationships/fontTable" Target="fontTable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yperlink" Target="http://www.caubr.gov.br/resolucao26" TargetMode="External"/><Relationship Id="rId24" Type="http://purl.oclc.org/ooxml/officeDocument/relationships/hyperlink" Target="http://www.caubr.gov.br/resolucao59/" TargetMode="External"/><Relationship Id="rId5" Type="http://purl.oclc.org/ooxml/officeDocument/relationships/footnotes" Target="footnotes.xml"/><Relationship Id="rId15" Type="http://purl.oclc.org/ooxml/officeDocument/relationships/hyperlink" Target="http://www.caubr.gov.br/resolucao35" TargetMode="External"/><Relationship Id="rId23" Type="http://purl.oclc.org/ooxml/officeDocument/relationships/hyperlink" Target="http://www.caubr.gov.br/resolucao48" TargetMode="External"/><Relationship Id="rId28" Type="http://purl.oclc.org/ooxml/officeDocument/relationships/footer" Target="footer1.xml"/><Relationship Id="rId10" Type="http://purl.oclc.org/ooxml/officeDocument/relationships/hyperlink" Target="http://www.caubr.gov.br/resolucao160/" TargetMode="External"/><Relationship Id="rId19" Type="http://purl.oclc.org/ooxml/officeDocument/relationships/hyperlink" Target="http://www.caubr.gov.br/resolucao12" TargetMode="External"/><Relationship Id="rId4" Type="http://purl.oclc.org/ooxml/officeDocument/relationships/webSettings" Target="webSettings.xml"/><Relationship Id="rId9" Type="http://purl.oclc.org/ooxml/officeDocument/relationships/hyperlink" Target="http://www.caubr.gov.br/resolucao85" TargetMode="External"/><Relationship Id="rId14" Type="http://purl.oclc.org/ooxml/officeDocument/relationships/hyperlink" Target="http://www.caubr.gov.br/resolucao123" TargetMode="External"/><Relationship Id="rId22" Type="http://purl.oclc.org/ooxml/officeDocument/relationships/hyperlink" Target="http://www.caubr.gov.br/resolucao28" TargetMode="External"/><Relationship Id="rId27" Type="http://purl.oclc.org/ooxml/officeDocument/relationships/header" Target="header1.xml"/><Relationship Id="rId30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8</Pages>
  <Words>3145</Words>
  <Characters>16986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2018-08-31T14:38:00Z</cp:lastPrinted>
  <dcterms:created xsi:type="dcterms:W3CDTF">2019-07-24T15:36:00Z</dcterms:created>
  <dcterms:modified xsi:type="dcterms:W3CDTF">2019-07-24T15:36:00Z</dcterms:modified>
</cp:coreProperties>
</file>