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8A364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A3648" w:rsidRDefault="00C9621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A3648" w:rsidRDefault="00C9621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Protocolos SICCAU nº 572054/2017 / Processo nº 218/2017</w:t>
            </w:r>
          </w:p>
        </w:tc>
      </w:tr>
      <w:tr w:rsidR="008A364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A3648" w:rsidRDefault="00C9621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A3648" w:rsidRDefault="00C9621E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8A364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A3648" w:rsidRDefault="00C9621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A3648" w:rsidRDefault="00C9621E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Reunião Técnica Elaboração de Manifestações Técnicas, estudos e diagnósticos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regionais </w:t>
            </w:r>
            <w:r>
              <w:rPr>
                <w:rFonts w:ascii="Times New Roman" w:hAnsi="Times New Roman"/>
                <w:sz w:val="22"/>
                <w:szCs w:val="22"/>
              </w:rPr>
              <w:t>em atos regulatórios dos cursos de Arquitetura e Urbanismo junto ao MEC</w:t>
            </w:r>
          </w:p>
        </w:tc>
      </w:tr>
    </w:tbl>
    <w:p w:rsidR="008A3648" w:rsidRDefault="00C9621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070/2018 – CEF-CAU/BR</w:t>
      </w:r>
    </w:p>
    <w:p w:rsidR="008A3648" w:rsidRDefault="00C9621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02 e 03 de agosto de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18, no uso das competências que lhe conferem o art. 99 do Regimento Interno do CAU/BR, após análise do assunto em epígrafe, e</w:t>
      </w:r>
    </w:p>
    <w:p w:rsidR="008A3648" w:rsidRDefault="008A3648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8A3648" w:rsidRDefault="00C962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Acordo de Cooperação Técnica firmado entre o MEC e o CONSELHO DE ARQUITETURA E URBANISMO DO BRASIL - CAU/BR em 15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dezembro de 2014;</w:t>
      </w:r>
    </w:p>
    <w:p w:rsidR="008A3648" w:rsidRDefault="008A36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A3648" w:rsidRDefault="00C962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107 do Decreto 9235, de 15 de dezembro de 2017, que revoga o Decreto 5773/2006; o §4º e §5º do art. 42 que determinam que no caso de curso correspondente a profissão regulamentada, após a fase de avaliação externa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 loco, realizada pelo Inep, será aberto prazo para que o órgão de regulamentação profissional, de âmbito nacional, possa manifestar-se em caráter opinativo nos processos de autorização de curso, sendo que referido prazo será de trinta dias, contado da 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ta de disponibilização do processo ao órgão de regulamentação profissional interessado, prorrogável uma vez, por igual período, mediante requerimento; o § 3º do art. 62 que determina que as ações de supervisão poderão ser exercidas em articulação com os 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nselhos de profissões Regulamentadas, no âmbito dos processos administrativos de supervisão instaurados para apuração de deficiências ou irregularidades; </w:t>
      </w:r>
    </w:p>
    <w:p w:rsidR="008A3648" w:rsidRDefault="008A36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A3648" w:rsidRDefault="00C9621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interesse do CAU/BR na continuidade da elaboração das manifestações técnicas dos atos</w:t>
      </w:r>
      <w:r>
        <w:rPr>
          <w:rFonts w:ascii="Times New Roman" w:hAnsi="Times New Roman"/>
          <w:sz w:val="22"/>
          <w:szCs w:val="22"/>
        </w:rPr>
        <w:t xml:space="preserve"> autorizativos dos cursos de Arquitetura e Urbanismo em tramitação no MEC, gestão do banco de avaliadores e atendimento às atividades previstas no Acordo de Cooperação Técnica firmado entre o MEC e o CAU/BR, expressa pela decisão do Conselho Diretor do CAU</w:t>
      </w:r>
      <w:r>
        <w:rPr>
          <w:rFonts w:ascii="Times New Roman" w:hAnsi="Times New Roman"/>
          <w:sz w:val="22"/>
          <w:szCs w:val="22"/>
        </w:rPr>
        <w:t>/BR, através da Deliberação 011-2017 CD-CAU/BR, em reunião ocorrida no dia 16 de agosto de 2017, que solicita em regime de urgência, que o CAU/BR dê continuidade ao Projeto de Manifestações Técnicas;</w:t>
      </w:r>
    </w:p>
    <w:p w:rsidR="008A3648" w:rsidRDefault="008A3648">
      <w:pPr>
        <w:jc w:val="both"/>
        <w:rPr>
          <w:rFonts w:ascii="Times New Roman" w:hAnsi="Times New Roman"/>
          <w:sz w:val="22"/>
          <w:szCs w:val="22"/>
        </w:rPr>
      </w:pPr>
    </w:p>
    <w:p w:rsidR="008A3648" w:rsidRDefault="00C962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0073-05/2017 que aprova o projeto de Resolução que dispõe sobre o Plano de Ação e Orçamento do Conselho de Arquitetura e Urbanismo do Brasil (CAU/BR) referente ao Exercício de 2018, contemplando dotação de recursos para o Projeto de Manifestações Técnicas;</w:t>
      </w:r>
    </w:p>
    <w:p w:rsidR="008A3648" w:rsidRDefault="008A3648">
      <w:pPr>
        <w:jc w:val="both"/>
        <w:rPr>
          <w:rFonts w:ascii="Times New Roman" w:hAnsi="Times New Roman"/>
          <w:sz w:val="22"/>
          <w:szCs w:val="22"/>
        </w:rPr>
      </w:pPr>
    </w:p>
    <w:p w:rsidR="008A3648" w:rsidRDefault="00C9621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interesse da CEF-CAU/BR em discutir termos práticos da execução das manifestações técnicas, objetivando a adequação do Projeto para execução no ano de 2018, e o conhecimento da </w:t>
      </w:r>
      <w:r>
        <w:rPr>
          <w:rFonts w:ascii="Times New Roman" w:hAnsi="Times New Roman"/>
          <w:sz w:val="22"/>
          <w:szCs w:val="22"/>
        </w:rPr>
        <w:t>Arquiteta e Urbanista Tercia Almeida de Oliveira, capacitada c</w:t>
      </w:r>
      <w:r>
        <w:rPr>
          <w:rFonts w:ascii="Times New Roman" w:hAnsi="Times New Roman"/>
          <w:sz w:val="22"/>
          <w:szCs w:val="22"/>
        </w:rPr>
        <w:t>omo avaliadora no âmbito do convênio e coordenadora dos avaliadores responsáveis pela execução das Manifestações Técnicas no âmbito do Convênio entre CAU/BR e a Associação Brasileira de Ensino de Arquitetura e Urbanismo, até o ano de 2017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A3648" w:rsidRDefault="008A36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A3648" w:rsidRDefault="00C9621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068 CEF-CAU/BR que solicita a convocação de Conselheiros para reunião técnica em São Paulo no dia 24 de agosto de 2018, e a disponibilidade da </w:t>
      </w:r>
      <w:r>
        <w:rPr>
          <w:rFonts w:ascii="Times New Roman" w:hAnsi="Times New Roman"/>
          <w:sz w:val="22"/>
          <w:szCs w:val="22"/>
        </w:rPr>
        <w:t>Arquiteta e Urbanista Tercia Almeida de Oliveira em receber os mesmos para reunião no dia 23 de agost</w:t>
      </w:r>
      <w:r>
        <w:rPr>
          <w:rFonts w:ascii="Times New Roman" w:hAnsi="Times New Roman"/>
          <w:sz w:val="22"/>
          <w:szCs w:val="22"/>
        </w:rPr>
        <w:t>o de 2018;</w:t>
      </w:r>
    </w:p>
    <w:p w:rsidR="008A3648" w:rsidRDefault="008A36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A3648" w:rsidRDefault="00C9621E">
      <w:pPr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art. 97, inciso XIV do Regimento Interno do CAU/BR.</w:t>
      </w:r>
    </w:p>
    <w:p w:rsidR="008A3648" w:rsidRDefault="008A3648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8A364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48" w:rsidRDefault="00C9621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lastRenderedPageBreak/>
              <w:t>DELIBERA:</w:t>
            </w:r>
          </w:p>
          <w:p w:rsidR="008A3648" w:rsidRDefault="008A364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A3648" w:rsidRDefault="00C9621E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as seguintes convocações para Reunião Técnica da CEF-CAU/BR referente ao </w:t>
            </w:r>
            <w:r>
              <w:rPr>
                <w:rFonts w:ascii="Times New Roman" w:hAnsi="Times New Roman"/>
                <w:sz w:val="22"/>
                <w:szCs w:val="22"/>
              </w:rPr>
              <w:t>Projeto de Manifestações Técnicas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ser realizada na cidade de São Paulo, no dia 23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agosto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de 2018 das 9 às 18 horas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8A3648" w:rsidRDefault="00C9621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Vilella;</w:t>
            </w:r>
          </w:p>
          <w:p w:rsidR="008A3648" w:rsidRDefault="00C9621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Lima;</w:t>
            </w:r>
          </w:p>
          <w:p w:rsidR="008A3648" w:rsidRDefault="00C9621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Juliano Pamplona Ximenes Ponte;</w:t>
            </w:r>
          </w:p>
          <w:p w:rsidR="008A3648" w:rsidRDefault="00C9621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Analista Paul Gerhard Beyer Ehrat.</w:t>
            </w:r>
          </w:p>
          <w:p w:rsidR="008A3648" w:rsidRDefault="00C96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o centro de custos 1.01.01.003 para a instrução das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 (diária, sendo as demais despesas conforme Deliberação 068/2017 CEF-CAU/BR);</w:t>
            </w:r>
          </w:p>
          <w:p w:rsidR="008A3648" w:rsidRDefault="00C9621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realização das convocações.</w:t>
            </w:r>
          </w:p>
        </w:tc>
      </w:tr>
      <w:tr w:rsidR="008A364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48" w:rsidRDefault="008A364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8A3648" w:rsidRDefault="00C9621E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03 de agosto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A3648" w:rsidRDefault="008A36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A3648" w:rsidRDefault="008A3648">
      <w:pPr>
        <w:ind w:firstLine="1701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677"/>
      </w:tblGrid>
      <w:tr w:rsidR="008A3648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48" w:rsidRDefault="00C9621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8A3648" w:rsidRDefault="00C9621E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48" w:rsidRDefault="00C9621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3648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48" w:rsidRDefault="008A364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48" w:rsidRDefault="008A364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8A3648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48" w:rsidRDefault="00C9621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8A3648" w:rsidRDefault="00C9621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8A3648" w:rsidRDefault="008A364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48" w:rsidRDefault="00C9621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3648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48" w:rsidRDefault="00C9621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ALFREDO RENATO PENA BRANA</w:t>
            </w:r>
          </w:p>
          <w:p w:rsidR="008A3648" w:rsidRDefault="00C9621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8A3648" w:rsidRDefault="008A364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48" w:rsidRDefault="00C9621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3648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48" w:rsidRDefault="00C9621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HÉLIO CAVALCANTI DA COSTA LIMA </w:t>
            </w:r>
          </w:p>
          <w:p w:rsidR="008A3648" w:rsidRDefault="00C9621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8A3648" w:rsidRDefault="008A364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48" w:rsidRDefault="00C9621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3648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48" w:rsidRDefault="00C9621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ALICE DA SILVA RODRIGUES ROSAS </w:t>
            </w:r>
          </w:p>
          <w:p w:rsidR="008A3648" w:rsidRDefault="00C9621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48" w:rsidRDefault="00C9621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8A3648" w:rsidRDefault="008A3648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sectPr w:rsidR="008A3648">
      <w:headerReference w:type="default" r:id="rId8"/>
      <w:footerReference w:type="default" r:id="rId9"/>
      <w:pgSz w:w="11900" w:h="16840"/>
      <w:pgMar w:top="2127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621E">
      <w:r>
        <w:separator/>
      </w:r>
    </w:p>
  </w:endnote>
  <w:endnote w:type="continuationSeparator" w:id="0">
    <w:p w:rsidR="00000000" w:rsidRDefault="00C9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D7" w:rsidRDefault="00C9621E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6614797</wp:posOffset>
              </wp:positionH>
              <wp:positionV relativeFrom="paragraph">
                <wp:posOffset>-196852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13CD7" w:rsidRDefault="00C9621E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A13CD7" w:rsidRDefault="00C9621E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621E">
      <w:r>
        <w:rPr>
          <w:color w:val="000000"/>
        </w:rPr>
        <w:separator/>
      </w:r>
    </w:p>
  </w:footnote>
  <w:footnote w:type="continuationSeparator" w:id="0">
    <w:p w:rsidR="00000000" w:rsidRDefault="00C96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D7" w:rsidRDefault="00C9621E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7F77"/>
    <w:multiLevelType w:val="multilevel"/>
    <w:tmpl w:val="785E2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F6632"/>
    <w:multiLevelType w:val="multilevel"/>
    <w:tmpl w:val="9126F6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15195C"/>
    <w:multiLevelType w:val="multilevel"/>
    <w:tmpl w:val="1A4E7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3648"/>
    <w:rsid w:val="008A3648"/>
    <w:rsid w:val="00C9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3741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2019-07-18T19:37:00Z</dcterms:created>
  <dcterms:modified xsi:type="dcterms:W3CDTF">2019-07-18T19:37:00Z</dcterms:modified>
</cp:coreProperties>
</file>