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633AD9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33AD9" w:rsidRDefault="001A072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33AD9" w:rsidRDefault="001A0723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SICCAU 693792/2018</w:t>
            </w:r>
          </w:p>
        </w:tc>
      </w:tr>
      <w:tr w:rsidR="00633AD9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33AD9" w:rsidRDefault="001A072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33AD9" w:rsidRDefault="001A0723">
            <w:pPr>
              <w:spacing w:line="276" w:lineRule="auto"/>
              <w:ind w:left="1843" w:hanging="1843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CAU/RS, CAU/PR e CEF-CAU/BR </w:t>
            </w:r>
          </w:p>
        </w:tc>
      </w:tr>
      <w:tr w:rsidR="00633AD9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33AD9" w:rsidRDefault="001A072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33AD9" w:rsidRDefault="001A0723">
            <w:pPr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Consulta acerca da regularidade de oferta de curso de graduação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em Arquitetura e Urbanismo, com tempo de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integralização inferior a 10 semestres, pelo curso de número 50235 do CENTRO UNIVERSITÁRIO ASSIS GURGACZ </w:t>
            </w:r>
          </w:p>
        </w:tc>
      </w:tr>
    </w:tbl>
    <w:p w:rsidR="00633AD9" w:rsidRDefault="001A0723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056/2018 – CEF-CAU/BR</w:t>
      </w:r>
    </w:p>
    <w:p w:rsidR="00633AD9" w:rsidRDefault="001A072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 – CEF-CAU/BR, reunida ordinariamente em Brasília-DF, na Sede do CAU/BR, nos dias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07 e 08 de junho de 2018, no uso das competências que lhe conferem o art. 99 do Regimento Interno do CAU/BR, após análise do assunto em epígrafe, e</w:t>
      </w:r>
    </w:p>
    <w:p w:rsidR="00633AD9" w:rsidRDefault="001A0723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que o art. 6º da Lei 12378, de 31 de dezembro de 2010, determina que são requisitos para o </w:t>
      </w:r>
      <w:r>
        <w:rPr>
          <w:sz w:val="22"/>
          <w:szCs w:val="22"/>
        </w:rPr>
        <w:t>registro capacidade civil e diploma de graduação em arquitetura e urbanismo, obtido em instituição de ensino superior oficialmente reconhecida (grifo nosso) pelo poder público;</w:t>
      </w:r>
    </w:p>
    <w:p w:rsidR="00633AD9" w:rsidRDefault="001A0723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o Decreto nº 9.235, de 15 de dezembro de 2017, que dispõe sobre o </w:t>
      </w:r>
      <w:r>
        <w:rPr>
          <w:sz w:val="22"/>
          <w:szCs w:val="22"/>
        </w:rPr>
        <w:t>exercício das funções de regulação, supervisão e avaliação das instituições de educação superior e dos cursos superiores de graduação e de pós-graduação no sistema federal de ensino, que no seu artigo 45 determina que o reconhecimento e o registro de curso</w:t>
      </w:r>
      <w:r>
        <w:rPr>
          <w:sz w:val="22"/>
          <w:szCs w:val="22"/>
        </w:rPr>
        <w:t xml:space="preserve"> são condições necessárias à validade nacional dos diplomas (grifo nosso);</w:t>
      </w:r>
    </w:p>
    <w:p w:rsidR="00633AD9" w:rsidRDefault="001A0723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>Considerando que o Decreto nº 9.235/2017, em seu art. 72 considera irregularidade administrativa, passíveis de aplicação de penalidades, a prestação de informações falsas ao Ministé</w:t>
      </w:r>
      <w:r>
        <w:rPr>
          <w:sz w:val="22"/>
          <w:szCs w:val="22"/>
        </w:rPr>
        <w:t>rio da Educação e omissão ou distorção de dados fornecidos aos cadastros e sistemas oficiais da educação superior, especialmente o Cadastro Nacional de Cursos e Instituições de Educação Superior - Cadastro e-MEC; e que conforme art. 103 as IES, independent</w:t>
      </w:r>
      <w:r>
        <w:rPr>
          <w:sz w:val="22"/>
          <w:szCs w:val="22"/>
        </w:rPr>
        <w:t>emente do seu sistema de ensino, manterão seus dados atualizados junto ao Cadastro e-MEC, mantido pelo Ministério da Educação;</w:t>
      </w:r>
    </w:p>
    <w:p w:rsidR="00633AD9" w:rsidRDefault="001A0723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Resolução CNE nº 2/2007 que dispõe sobre carga horária mínima e procedimentos relativos à integralização e duração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dos cursos de graduação, bacharelados, na modalidade presencial;</w:t>
      </w:r>
    </w:p>
    <w:p w:rsidR="00633AD9" w:rsidRDefault="001A0723">
      <w:pPr>
        <w:pStyle w:val="texto1"/>
        <w:jc w:val="both"/>
      </w:pPr>
      <w:r>
        <w:rPr>
          <w:sz w:val="22"/>
          <w:szCs w:val="22"/>
        </w:rPr>
        <w:t>Considerando a Deliberação Plenária DPO/RS Nº 910/2018, que encaminha solicitação de esclarecimentos da CEF-CAU/RS acerca da oferta de curso com tempo de integralização inferior ao mínimo pr</w:t>
      </w:r>
      <w:r>
        <w:rPr>
          <w:sz w:val="22"/>
          <w:szCs w:val="22"/>
        </w:rPr>
        <w:t xml:space="preserve">evisto pela Resolução CNE nº 2/2007, pelo </w:t>
      </w:r>
      <w:r>
        <w:rPr>
          <w:bCs/>
          <w:sz w:val="22"/>
          <w:szCs w:val="22"/>
        </w:rPr>
        <w:t>curso de graduação em Arquitetura e Urbanismo de número 50235 do CENTRO UNIVERSITÁRIO ASSIS GURGACZ;</w:t>
      </w:r>
    </w:p>
    <w:p w:rsidR="00633AD9" w:rsidRDefault="001A0723">
      <w:pPr>
        <w:pStyle w:val="texto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Considerando a consulta feita ao CAU/PR acerca da situação, respondida por e-mail encaminhando as Atas das </w:t>
      </w:r>
      <w:r>
        <w:rPr>
          <w:bCs/>
          <w:sz w:val="22"/>
          <w:szCs w:val="22"/>
        </w:rPr>
        <w:t xml:space="preserve">Reuniões Ordinárias Nº 04/2018 e 05/2018, onde constam informação acerca da discussão da questão, e que não houve a respectiva deliberação referente ao tema; </w:t>
      </w:r>
    </w:p>
    <w:p w:rsidR="00633AD9" w:rsidRDefault="001A0723">
      <w:pPr>
        <w:pStyle w:val="Default"/>
        <w:jc w:val="both"/>
        <w:rPr>
          <w:rFonts w:ascii="Times New Roman" w:eastAsia="Times New Roman" w:hAnsi="Times New Roman"/>
          <w:bCs/>
          <w:sz w:val="22"/>
          <w:szCs w:val="22"/>
        </w:rPr>
      </w:pPr>
      <w:r>
        <w:rPr>
          <w:rFonts w:ascii="Times New Roman" w:eastAsia="Times New Roman" w:hAnsi="Times New Roman"/>
          <w:bCs/>
          <w:sz w:val="22"/>
          <w:szCs w:val="22"/>
        </w:rPr>
        <w:t>Considerando que a Resolução 23/2010 – CEPEG, da Faculdade Assis Gurgacz, que aprova a matriz cur</w:t>
      </w:r>
      <w:r>
        <w:rPr>
          <w:rFonts w:ascii="Times New Roman" w:eastAsia="Times New Roman" w:hAnsi="Times New Roman"/>
          <w:bCs/>
          <w:sz w:val="22"/>
          <w:szCs w:val="22"/>
        </w:rPr>
        <w:t>ricular do Curso de Arquitetura e Urbanismo turno integral diurno em 4 anos;</w:t>
      </w:r>
    </w:p>
    <w:p w:rsidR="00633AD9" w:rsidRDefault="00633AD9">
      <w:pPr>
        <w:pStyle w:val="Default"/>
        <w:jc w:val="both"/>
        <w:rPr>
          <w:rFonts w:ascii="Times New Roman" w:eastAsia="Times New Roman" w:hAnsi="Times New Roman"/>
          <w:bCs/>
          <w:sz w:val="22"/>
          <w:szCs w:val="22"/>
        </w:rPr>
      </w:pPr>
    </w:p>
    <w:p w:rsidR="00633AD9" w:rsidRDefault="00633AD9">
      <w:pPr>
        <w:pStyle w:val="Default"/>
        <w:jc w:val="both"/>
        <w:rPr>
          <w:rFonts w:ascii="Times New Roman" w:eastAsia="Times New Roman" w:hAnsi="Times New Roman"/>
          <w:bCs/>
          <w:sz w:val="22"/>
          <w:szCs w:val="22"/>
        </w:rPr>
      </w:pPr>
    </w:p>
    <w:p w:rsidR="00633AD9" w:rsidRDefault="001A0723">
      <w:pPr>
        <w:pStyle w:val="Default"/>
        <w:jc w:val="both"/>
      </w:pPr>
      <w:r>
        <w:rPr>
          <w:rFonts w:ascii="Times New Roman" w:eastAsia="Times New Roman" w:hAnsi="Times New Roman"/>
          <w:bCs/>
          <w:sz w:val="22"/>
          <w:szCs w:val="22"/>
        </w:rPr>
        <w:t>Considerando o Instrumento de Avaliação de Cursos de Graduação presencial e a distância - Reconhecimento e Renovação de Reconhecimento de Curso, código de avaliação 99754, parte</w:t>
      </w:r>
      <w:r>
        <w:rPr>
          <w:rFonts w:ascii="Times New Roman" w:eastAsia="Times New Roman" w:hAnsi="Times New Roman"/>
          <w:bCs/>
          <w:sz w:val="22"/>
          <w:szCs w:val="22"/>
        </w:rPr>
        <w:t xml:space="preserve"> do processo de renovação de reconhecimento protocolo nº 201217145, com resultado publicado em 03 de outubro de 2016 por meio da portaria Portaria nº 578/2016, que em duas disposições finais considera que </w:t>
      </w:r>
      <w:r>
        <w:rPr>
          <w:rFonts w:ascii="Times New Roman" w:eastAsia="Times New Roman" w:hAnsi="Times New Roman"/>
          <w:bCs/>
          <w:i/>
          <w:sz w:val="22"/>
          <w:szCs w:val="22"/>
        </w:rPr>
        <w:t>“Os argumentos inseridos no PPC do Curso para a int</w:t>
      </w:r>
      <w:r>
        <w:rPr>
          <w:rFonts w:ascii="Times New Roman" w:eastAsia="Times New Roman" w:hAnsi="Times New Roman"/>
          <w:bCs/>
          <w:i/>
          <w:sz w:val="22"/>
          <w:szCs w:val="22"/>
        </w:rPr>
        <w:t>egralização em tempo inferior à Resolução CNE 04/2009, não justifica oferecimento Integral em 8 semestres, tempo inferior aos 5 anos estabelecidos para o Curso de Arquitetura e Urbanismo. São eles: demanda na cidade e região, mesma carga horária do curso N</w:t>
      </w:r>
      <w:r>
        <w:rPr>
          <w:rFonts w:ascii="Times New Roman" w:eastAsia="Times New Roman" w:hAnsi="Times New Roman"/>
          <w:bCs/>
          <w:i/>
          <w:sz w:val="22"/>
          <w:szCs w:val="22"/>
        </w:rPr>
        <w:t xml:space="preserve">oturno de 10 semestres com igual qualidade. O Trabalho de Curso é realizado paralelamente a diversas outras unidades curriculares do Curso, diferente do Curso Noturno e para o estudante esse tempo maior para dedicação ao trabalho final é fundamental. Além </w:t>
      </w:r>
      <w:r>
        <w:rPr>
          <w:rFonts w:ascii="Times New Roman" w:eastAsia="Times New Roman" w:hAnsi="Times New Roman"/>
          <w:bCs/>
          <w:i/>
          <w:sz w:val="22"/>
          <w:szCs w:val="22"/>
        </w:rPr>
        <w:t xml:space="preserve">disso, é fundamental que haja tempo suficiente para uma maturação razoável, aplicação e contextualização dos </w:t>
      </w:r>
      <w:r>
        <w:rPr>
          <w:rFonts w:ascii="Times New Roman" w:eastAsia="Times New Roman" w:hAnsi="Times New Roman"/>
          <w:bCs/>
          <w:i/>
          <w:sz w:val="22"/>
          <w:szCs w:val="22"/>
        </w:rPr>
        <w:lastRenderedPageBreak/>
        <w:t xml:space="preserve">conhecimentos oferecidos ao longo da realização do curso de Arquitetura e Urbanismo, já discutidos anteriormente pelos pareceristas e conselhos de </w:t>
      </w:r>
      <w:r>
        <w:rPr>
          <w:rFonts w:ascii="Times New Roman" w:eastAsia="Times New Roman" w:hAnsi="Times New Roman"/>
          <w:bCs/>
          <w:i/>
          <w:sz w:val="22"/>
          <w:szCs w:val="22"/>
        </w:rPr>
        <w:t>classe. A aceitação do frágil argumento apresentado pela IES pode representar restrições às atribuições profissionais do arquiteto e urbanista.”</w:t>
      </w:r>
    </w:p>
    <w:p w:rsidR="00633AD9" w:rsidRDefault="00633AD9">
      <w:pPr>
        <w:pStyle w:val="Default"/>
        <w:jc w:val="both"/>
        <w:rPr>
          <w:rFonts w:ascii="Times New Roman" w:eastAsia="Times New Roman" w:hAnsi="Times New Roman"/>
          <w:bCs/>
          <w:sz w:val="22"/>
          <w:szCs w:val="22"/>
        </w:rPr>
      </w:pPr>
    </w:p>
    <w:p w:rsidR="00633AD9" w:rsidRDefault="00633AD9">
      <w:pPr>
        <w:pStyle w:val="Default"/>
        <w:jc w:val="both"/>
        <w:rPr>
          <w:rFonts w:ascii="Times New Roman" w:eastAsia="Times New Roman" w:hAnsi="Times New Roman"/>
          <w:bCs/>
          <w:sz w:val="22"/>
          <w:szCs w:val="22"/>
        </w:rPr>
      </w:pPr>
    </w:p>
    <w:p w:rsidR="00633AD9" w:rsidRDefault="001A0723">
      <w:pPr>
        <w:pStyle w:val="Default"/>
        <w:jc w:val="both"/>
      </w:pPr>
      <w:r>
        <w:rPr>
          <w:rFonts w:ascii="Times New Roman" w:eastAsia="Times New Roman" w:hAnsi="Times New Roman"/>
          <w:bCs/>
          <w:sz w:val="22"/>
          <w:szCs w:val="22"/>
        </w:rPr>
        <w:t>Considerando o Parecer Final do processo de renovação de reconhecimento protocolo nº 201217145, com resultado</w:t>
      </w:r>
      <w:r>
        <w:rPr>
          <w:rFonts w:ascii="Times New Roman" w:eastAsia="Times New Roman" w:hAnsi="Times New Roman"/>
          <w:bCs/>
          <w:sz w:val="22"/>
          <w:szCs w:val="22"/>
        </w:rPr>
        <w:t xml:space="preserve"> publicado em 03 de outubro de 2016 por meio da portaria Portaria nº 578/2016, que sugere o deferimento, mas que, entretanto, concluí que </w:t>
      </w:r>
      <w:r>
        <w:rPr>
          <w:rFonts w:ascii="Times New Roman" w:eastAsia="Times New Roman" w:hAnsi="Times New Roman"/>
          <w:bCs/>
          <w:i/>
          <w:sz w:val="22"/>
          <w:szCs w:val="22"/>
        </w:rPr>
        <w:t>“(...) A IES deverá observar a legislação educacional, destacando-se os requisitos abaixo relacionados: (...) - o cump</w:t>
      </w:r>
      <w:r>
        <w:rPr>
          <w:rFonts w:ascii="Times New Roman" w:eastAsia="Times New Roman" w:hAnsi="Times New Roman"/>
          <w:bCs/>
          <w:i/>
          <w:sz w:val="22"/>
          <w:szCs w:val="22"/>
        </w:rPr>
        <w:t>rimento de diretrizes curriculares nacionais, quando existentes para o curso, incluindo carga horária mínima exigida;(...)</w:t>
      </w:r>
    </w:p>
    <w:p w:rsidR="00633AD9" w:rsidRDefault="001A0723">
      <w:pPr>
        <w:pStyle w:val="NormalWeb"/>
        <w:spacing w:before="2" w:after="2"/>
        <w:jc w:val="both"/>
      </w:pPr>
      <w:r>
        <w:rPr>
          <w:rFonts w:ascii="Times New Roman" w:eastAsia="Times New Roman" w:hAnsi="Times New Roman" w:cs="Calibri"/>
          <w:bCs/>
          <w:i/>
          <w:color w:val="000000"/>
          <w:sz w:val="22"/>
          <w:szCs w:val="22"/>
          <w:lang w:eastAsia="pt-BR"/>
        </w:rPr>
        <w:t>- o atendimento à legislação específica sobre tempo de integralização mínimo exigido para o curso;”</w:t>
      </w:r>
      <w:r>
        <w:rPr>
          <w:rFonts w:ascii="Times New Roman" w:eastAsia="Times New Roman" w:hAnsi="Times New Roman" w:cs="Calibri"/>
          <w:bCs/>
          <w:color w:val="000000"/>
          <w:sz w:val="22"/>
          <w:szCs w:val="22"/>
          <w:lang w:eastAsia="pt-BR"/>
        </w:rPr>
        <w:t xml:space="preserve"> e que </w:t>
      </w:r>
      <w:r>
        <w:rPr>
          <w:rFonts w:ascii="Times New Roman" w:eastAsia="Times New Roman" w:hAnsi="Times New Roman" w:cs="Calibri"/>
          <w:bCs/>
          <w:i/>
          <w:color w:val="000000"/>
          <w:sz w:val="22"/>
          <w:szCs w:val="22"/>
          <w:lang w:eastAsia="pt-BR"/>
        </w:rPr>
        <w:t>“Todos os requisitos legais</w:t>
      </w:r>
      <w:r>
        <w:rPr>
          <w:rFonts w:ascii="Times New Roman" w:eastAsia="Times New Roman" w:hAnsi="Times New Roman" w:cs="Calibri"/>
          <w:bCs/>
          <w:i/>
          <w:color w:val="000000"/>
          <w:sz w:val="22"/>
          <w:szCs w:val="22"/>
          <w:lang w:eastAsia="pt-BR"/>
        </w:rPr>
        <w:t xml:space="preserve"> deverão ser rigorosamente observados na próxima avaliação in loco relativa ao curso.</w:t>
      </w:r>
      <w:r>
        <w:rPr>
          <w:rFonts w:ascii="Verdana" w:hAnsi="Verdana"/>
          <w:color w:val="362B36"/>
          <w:sz w:val="17"/>
          <w:szCs w:val="17"/>
          <w:shd w:val="clear" w:color="auto" w:fill="FFFFFF"/>
        </w:rPr>
        <w:t xml:space="preserve"> </w:t>
      </w:r>
      <w:r>
        <w:rPr>
          <w:rFonts w:ascii="Times New Roman" w:eastAsia="Times New Roman" w:hAnsi="Times New Roman" w:cs="Calibri"/>
          <w:bCs/>
          <w:i/>
          <w:color w:val="000000"/>
          <w:sz w:val="22"/>
          <w:szCs w:val="22"/>
          <w:lang w:eastAsia="pt-BR"/>
        </w:rPr>
        <w:t>O não cumprimento de uma ou mais destas exigências legais poderá acarretar processo de supervisão pelo Ministério da Educação.”</w:t>
      </w:r>
    </w:p>
    <w:p w:rsidR="00633AD9" w:rsidRDefault="00633AD9"/>
    <w:p w:rsidR="00633AD9" w:rsidRDefault="00633AD9"/>
    <w:p w:rsidR="00633AD9" w:rsidRDefault="001A0723">
      <w:pPr>
        <w:pStyle w:val="Default"/>
        <w:jc w:val="both"/>
      </w:pPr>
      <w:r>
        <w:rPr>
          <w:rFonts w:ascii="Times New Roman" w:eastAsia="Times New Roman" w:hAnsi="Times New Roman"/>
          <w:bCs/>
          <w:sz w:val="22"/>
          <w:szCs w:val="22"/>
        </w:rPr>
        <w:t>Considerando que a SERES/MEC teve acesso</w:t>
      </w:r>
      <w:r>
        <w:rPr>
          <w:rFonts w:ascii="Times New Roman" w:eastAsia="Times New Roman" w:hAnsi="Times New Roman"/>
          <w:bCs/>
          <w:sz w:val="22"/>
          <w:szCs w:val="22"/>
        </w:rPr>
        <w:t xml:space="preserve"> a informação de oferta do curso com tempo de integralização inferior ao disposto na </w:t>
      </w:r>
      <w:r>
        <w:rPr>
          <w:rFonts w:ascii="Times New Roman" w:eastAsia="Times New Roman" w:hAnsi="Times New Roman"/>
          <w:sz w:val="22"/>
          <w:szCs w:val="22"/>
        </w:rPr>
        <w:t>Resolução CNE nº 2/2007, analisou a questão e efetuou solicitações a IES, que deverão ser rigorosamente observadas na próxima avaliação in loco, que esta avaliação ainda n</w:t>
      </w:r>
      <w:r>
        <w:rPr>
          <w:rFonts w:ascii="Times New Roman" w:eastAsia="Times New Roman" w:hAnsi="Times New Roman"/>
          <w:sz w:val="22"/>
          <w:szCs w:val="22"/>
        </w:rPr>
        <w:t>ão ocorreu, e que foi publicada a portaria de renovação de reconhecimento com a ciência do MEC sobre a situação;</w:t>
      </w:r>
    </w:p>
    <w:p w:rsidR="00633AD9" w:rsidRDefault="00633AD9">
      <w:pPr>
        <w:pStyle w:val="Default"/>
        <w:jc w:val="both"/>
        <w:rPr>
          <w:rFonts w:ascii="Times New Roman" w:eastAsia="Times New Roman" w:hAnsi="Times New Roman"/>
          <w:bCs/>
          <w:sz w:val="22"/>
          <w:szCs w:val="22"/>
        </w:rPr>
      </w:pPr>
    </w:p>
    <w:p w:rsidR="00633AD9" w:rsidRDefault="00633AD9">
      <w:pPr>
        <w:pStyle w:val="Default"/>
        <w:jc w:val="both"/>
        <w:rPr>
          <w:rFonts w:ascii="Times New Roman" w:eastAsia="Times New Roman" w:hAnsi="Times New Roman"/>
          <w:bCs/>
          <w:sz w:val="22"/>
          <w:szCs w:val="22"/>
        </w:rPr>
      </w:pPr>
    </w:p>
    <w:p w:rsidR="00633AD9" w:rsidRDefault="001A0723">
      <w:pPr>
        <w:pStyle w:val="Default"/>
        <w:jc w:val="both"/>
        <w:rPr>
          <w:rFonts w:ascii="Times New Roman" w:eastAsia="Times New Roman" w:hAnsi="Times New Roman"/>
          <w:bCs/>
          <w:sz w:val="22"/>
          <w:szCs w:val="22"/>
        </w:rPr>
      </w:pPr>
      <w:r>
        <w:rPr>
          <w:rFonts w:ascii="Times New Roman" w:eastAsia="Times New Roman" w:hAnsi="Times New Roman"/>
          <w:bCs/>
          <w:sz w:val="22"/>
          <w:szCs w:val="22"/>
        </w:rPr>
        <w:t>Considerando que o registro de egressos de uma IES em determinado UF pode ser feito em qualquer CAU/UF, e a necessidade de uniformização do e</w:t>
      </w:r>
      <w:r>
        <w:rPr>
          <w:rFonts w:ascii="Times New Roman" w:eastAsia="Times New Roman" w:hAnsi="Times New Roman"/>
          <w:bCs/>
          <w:sz w:val="22"/>
          <w:szCs w:val="22"/>
        </w:rPr>
        <w:t>ntendimento acerca de casos e situações excepcionais, como esta, em relação aos normativos vigentes;</w:t>
      </w:r>
    </w:p>
    <w:p w:rsidR="00633AD9" w:rsidRDefault="00633AD9">
      <w:pPr>
        <w:pStyle w:val="Default"/>
        <w:jc w:val="both"/>
        <w:rPr>
          <w:rFonts w:ascii="Times New Roman" w:eastAsia="Times New Roman" w:hAnsi="Times New Roman"/>
          <w:bCs/>
          <w:sz w:val="22"/>
          <w:szCs w:val="22"/>
        </w:rPr>
      </w:pPr>
    </w:p>
    <w:p w:rsidR="00633AD9" w:rsidRDefault="00633AD9">
      <w:pPr>
        <w:pStyle w:val="Default"/>
        <w:jc w:val="both"/>
        <w:rPr>
          <w:rFonts w:ascii="Times New Roman" w:eastAsia="Times New Roman" w:hAnsi="Times New Roman"/>
          <w:bCs/>
          <w:sz w:val="22"/>
          <w:szCs w:val="22"/>
        </w:rPr>
      </w:pPr>
    </w:p>
    <w:p w:rsidR="00633AD9" w:rsidRDefault="00633AD9">
      <w:pPr>
        <w:pStyle w:val="Default"/>
        <w:jc w:val="both"/>
        <w:rPr>
          <w:rFonts w:ascii="Times New Roman" w:eastAsia="Times New Roman" w:hAnsi="Times New Roman"/>
          <w:bCs/>
          <w:sz w:val="22"/>
          <w:szCs w:val="22"/>
        </w:rPr>
      </w:pPr>
    </w:p>
    <w:p w:rsidR="00633AD9" w:rsidRDefault="00633AD9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633AD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AD9" w:rsidRDefault="001A0723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633AD9" w:rsidRDefault="00633AD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633AD9" w:rsidRDefault="001A0723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Autorizar os CAU/UF a efetuar o registro dos egressos do curso de graduação em Arquitetura e Urbanismo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de número 50235 do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CENTRO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UNIVERSITÁRIO ASSIS GURGACZ, com base na portaria de renovação de reconhecimento 578 de 30/09/2016;</w:t>
            </w:r>
          </w:p>
          <w:p w:rsidR="00633AD9" w:rsidRDefault="001A0723">
            <w:pPr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633AD9" w:rsidRDefault="001A072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Enviar esta deliberação à Presidência do CAU/BR para conhecimento e tomada das seguintes providências: </w:t>
            </w:r>
          </w:p>
          <w:p w:rsidR="00633AD9" w:rsidRDefault="001A0723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Oficiar o CAU/RS informando do conteúdo desta deli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beração em resposta a Deliberação Plenária DPO/RS Nº 910/2018.</w:t>
            </w:r>
          </w:p>
          <w:p w:rsidR="00633AD9" w:rsidRDefault="001A0723">
            <w:pPr>
              <w:numPr>
                <w:ilvl w:val="0"/>
                <w:numId w:val="2"/>
              </w:numPr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Oficiar o CAU/PR informando que toda situação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excepcional aos normativos vigentes deve ser Deliberada pelo CAU/UF e remetida imediatamente para consulta ao CAU/BR, objetivando um entendimento u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niforme a todos os CAU/UF. Orientar que a CEF-CAU/PR ajuste seus procedimentos internos ao Regimento Geral do CAU, salientando a necessidade de Deliberação sobre temas relacionados diretamente ao Registro Profissional. Solicitar que a CEF-CAU/PR faça um tr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abalho junto a coordenação do curso e acompanhe de perto as ações da IES visando o atendimento ao disposto na conclusão do parecer de renovação de reconhecimento, uma vez que é preocupante a afirmação contida no parecer do INEP, de que a aceitação do frági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l argumento apresentado pela IES para curso com tempo de integralização de 4 anos pode representar restrições às atribuições profissionais do arquiteto e urbanista.</w:t>
            </w:r>
          </w:p>
        </w:tc>
      </w:tr>
      <w:tr w:rsidR="00633AD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AD9" w:rsidRDefault="00633AD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</w:tbl>
    <w:p w:rsidR="00633AD9" w:rsidRDefault="001A0723">
      <w:pPr>
        <w:jc w:val="center"/>
      </w:pPr>
      <w:r>
        <w:fldChar w:fldCharType="begin"/>
      </w:r>
      <w:r>
        <w:instrText xml:space="preserve"> MERGEFIELD Cidade </w:instrText>
      </w:r>
      <w:r>
        <w:fldChar w:fldCharType="separate"/>
      </w:r>
      <w:r>
        <w:t>Brasília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>
        <w:fldChar w:fldCharType="begin"/>
      </w:r>
      <w:r>
        <w:instrText xml:space="preserve"> MERGEFIELD UF </w:instrText>
      </w:r>
      <w:r>
        <w:fldChar w:fldCharType="separate"/>
      </w:r>
      <w:r>
        <w:t>DF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07 de junho de 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633AD9" w:rsidRDefault="00633AD9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33AD9" w:rsidRDefault="00633AD9">
      <w:pPr>
        <w:jc w:val="center"/>
      </w:pPr>
    </w:p>
    <w:p w:rsidR="00633AD9" w:rsidRDefault="00633AD9">
      <w:pPr>
        <w:ind w:firstLine="1701"/>
        <w:jc w:val="both"/>
        <w:rPr>
          <w:rFonts w:ascii="Times New Roman" w:eastAsia="Times New Roman" w:hAnsi="Times New Roman"/>
          <w:sz w:val="22"/>
          <w:szCs w:val="22"/>
          <w:shd w:val="clear" w:color="auto" w:fill="FFFF00"/>
          <w:lang w:eastAsia="pt-BR"/>
        </w:rPr>
      </w:pPr>
    </w:p>
    <w:tbl>
      <w:tblPr>
        <w:tblW w:w="9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677"/>
      </w:tblGrid>
      <w:tr w:rsidR="00633AD9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AD9" w:rsidRDefault="001A0723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Andrea LÚcia Vilella Arruda</w:t>
            </w:r>
          </w:p>
          <w:p w:rsidR="00633AD9" w:rsidRDefault="001A0723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  <w:p w:rsidR="00633AD9" w:rsidRDefault="00633AD9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AD9" w:rsidRDefault="001A072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633AD9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AD9" w:rsidRDefault="001A0723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Hélio Cavalcanti da Costa Lima</w:t>
            </w:r>
          </w:p>
          <w:p w:rsidR="00633AD9" w:rsidRDefault="001A0723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Coordenador-Adjunto</w:t>
            </w:r>
          </w:p>
          <w:p w:rsidR="00633AD9" w:rsidRDefault="00633AD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AD9" w:rsidRDefault="001A072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633AD9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AD9" w:rsidRDefault="001A0723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Humberto Mauro Andrade Cruz</w:t>
            </w:r>
          </w:p>
          <w:p w:rsidR="00633AD9" w:rsidRDefault="001A0723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633AD9" w:rsidRDefault="00633AD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AD9" w:rsidRDefault="001A072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633AD9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AD9" w:rsidRDefault="001A0723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Alfredo Renato Pena Brana</w:t>
            </w:r>
          </w:p>
          <w:p w:rsidR="00633AD9" w:rsidRDefault="001A0723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633AD9" w:rsidRDefault="00633AD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AD9" w:rsidRDefault="001A072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633AD9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AD9" w:rsidRDefault="001A0723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Juliano Pamplona Ximenes Ponte</w:t>
            </w:r>
          </w:p>
          <w:p w:rsidR="00633AD9" w:rsidRDefault="001A0723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633AD9" w:rsidRDefault="00633AD9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AD9" w:rsidRDefault="001A072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633AD9" w:rsidRDefault="00633AD9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33AD9" w:rsidRDefault="00633AD9">
      <w:pPr>
        <w:tabs>
          <w:tab w:val="left" w:pos="5209"/>
        </w:tabs>
        <w:jc w:val="center"/>
        <w:rPr>
          <w:rFonts w:ascii="Times New Roman" w:hAnsi="Times New Roman"/>
          <w:sz w:val="22"/>
          <w:szCs w:val="22"/>
          <w:u w:val="single"/>
        </w:rPr>
      </w:pPr>
    </w:p>
    <w:sectPr w:rsidR="00633AD9">
      <w:headerReference w:type="default" r:id="rId8"/>
      <w:footerReference w:type="default" r:id="rId9"/>
      <w:pgSz w:w="11900" w:h="16840"/>
      <w:pgMar w:top="1559" w:right="1559" w:bottom="1985" w:left="1128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A0723">
      <w:r>
        <w:separator/>
      </w:r>
    </w:p>
  </w:endnote>
  <w:endnote w:type="continuationSeparator" w:id="0">
    <w:p w:rsidR="00000000" w:rsidRDefault="001A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EC" w:rsidRDefault="001A0723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838" cy="229788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38" cy="229788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0F77EC" w:rsidRDefault="001A0723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3pt;height:18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" filled="f" stroked="f">
              <v:textbox inset="0,0,0,0">
                <w:txbxContent>
                  <w:p w:rsidR="000F77EC" w:rsidRDefault="001A0723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A0723">
      <w:r>
        <w:rPr>
          <w:color w:val="000000"/>
        </w:rPr>
        <w:separator/>
      </w:r>
    </w:p>
  </w:footnote>
  <w:footnote w:type="continuationSeparator" w:id="0">
    <w:p w:rsidR="00000000" w:rsidRDefault="001A0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EC" w:rsidRDefault="001A0723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2A31"/>
    <w:multiLevelType w:val="multilevel"/>
    <w:tmpl w:val="CF662FC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395C5E"/>
    <w:multiLevelType w:val="multilevel"/>
    <w:tmpl w:val="85FEF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3AD9"/>
    <w:rsid w:val="001A0723"/>
    <w:rsid w:val="0063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1172</Words>
  <Characters>6330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2018-06-08T17:15:00Z</cp:lastPrinted>
  <dcterms:created xsi:type="dcterms:W3CDTF">2019-07-18T19:27:00Z</dcterms:created>
  <dcterms:modified xsi:type="dcterms:W3CDTF">2019-07-18T19:27:00Z</dcterms:modified>
</cp:coreProperties>
</file>