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90" w:type="dxa"/>
        <w:jc w:val="center"/>
        <w:tblLayout w:type="fixed"/>
        <w:tblCellMar>
          <w:left w:w="10" w:type="dxa"/>
          <w:right w:w="10" w:type="dxa"/>
        </w:tblCellMar>
        <w:tblLook w:val="0000" w:firstRow="0" w:lastRow="0" w:firstColumn="0" w:lastColumn="0" w:noHBand="0" w:noVBand="0"/>
      </w:tblPr>
      <w:tblGrid>
        <w:gridCol w:w="1764"/>
        <w:gridCol w:w="7426"/>
      </w:tblGrid>
      <w:tr w:rsidR="005F39C8">
        <w:tblPrEx>
          <w:tblCellMar>
            <w:top w:w="0" w:type="dxa"/>
            <w:bottom w:w="0" w:type="dxa"/>
          </w:tblCellMar>
        </w:tblPrEx>
        <w:trPr>
          <w:cantSplit/>
          <w:trHeight w:val="283"/>
          <w:jc w:val="center"/>
        </w:trPr>
        <w:tc>
          <w:tcPr>
            <w:tcW w:w="1764" w:type="dxa"/>
            <w:tcBorders>
              <w:top w:val="single" w:sz="4" w:space="0" w:color="7F7F7F"/>
              <w:bottom w:val="single" w:sz="4" w:space="0" w:color="7F7F7F"/>
              <w:right w:val="single" w:sz="4" w:space="0" w:color="7F7F7F"/>
            </w:tcBorders>
            <w:shd w:val="clear" w:color="auto" w:fill="F2F2F2"/>
            <w:tcMar>
              <w:top w:w="0" w:type="dxa"/>
              <w:left w:w="113" w:type="dxa"/>
              <w:bottom w:w="0" w:type="dxa"/>
              <w:right w:w="113" w:type="dxa"/>
            </w:tcMar>
            <w:vAlign w:val="center"/>
          </w:tcPr>
          <w:p w:rsidR="005F39C8" w:rsidRDefault="00067991">
            <w:pPr>
              <w:rPr>
                <w:rFonts w:ascii="Times New Roman" w:eastAsia="Times New Roman" w:hAnsi="Times New Roman"/>
                <w:sz w:val="22"/>
                <w:szCs w:val="22"/>
                <w:lang w:eastAsia="pt-BR"/>
              </w:rPr>
            </w:pPr>
            <w:r>
              <w:rPr>
                <w:rFonts w:ascii="Times New Roman" w:eastAsia="Times New Roman" w:hAnsi="Times New Roman"/>
                <w:sz w:val="22"/>
                <w:szCs w:val="22"/>
                <w:lang w:eastAsia="pt-BR"/>
              </w:rPr>
              <w:t>PROCESSO</w:t>
            </w:r>
          </w:p>
        </w:tc>
        <w:tc>
          <w:tcPr>
            <w:tcW w:w="7426" w:type="dxa"/>
            <w:tcBorders>
              <w:top w:val="single" w:sz="4" w:space="0" w:color="7F7F7F"/>
              <w:left w:val="single" w:sz="4" w:space="0" w:color="7F7F7F"/>
              <w:bottom w:val="single" w:sz="4" w:space="0" w:color="7F7F7F"/>
            </w:tcBorders>
            <w:shd w:val="clear" w:color="auto" w:fill="auto"/>
            <w:tcMar>
              <w:top w:w="0" w:type="dxa"/>
              <w:left w:w="113" w:type="dxa"/>
              <w:bottom w:w="0" w:type="dxa"/>
              <w:right w:w="113" w:type="dxa"/>
            </w:tcMar>
            <w:vAlign w:val="center"/>
          </w:tcPr>
          <w:p w:rsidR="005F39C8" w:rsidRDefault="00067991">
            <w:pPr>
              <w:widowControl w:val="0"/>
            </w:pPr>
            <w:r>
              <w:rPr>
                <w:rFonts w:ascii="Times New Roman" w:hAnsi="Times New Roman"/>
                <w:sz w:val="22"/>
                <w:szCs w:val="22"/>
              </w:rPr>
              <w:t>710265/2018</w:t>
            </w:r>
          </w:p>
        </w:tc>
      </w:tr>
      <w:tr w:rsidR="005F39C8">
        <w:tblPrEx>
          <w:tblCellMar>
            <w:top w:w="0" w:type="dxa"/>
            <w:bottom w:w="0" w:type="dxa"/>
          </w:tblCellMar>
        </w:tblPrEx>
        <w:trPr>
          <w:cantSplit/>
          <w:trHeight w:val="283"/>
          <w:jc w:val="center"/>
        </w:trPr>
        <w:tc>
          <w:tcPr>
            <w:tcW w:w="1764" w:type="dxa"/>
            <w:tcBorders>
              <w:top w:val="single" w:sz="4" w:space="0" w:color="7F7F7F"/>
              <w:bottom w:val="single" w:sz="4" w:space="0" w:color="7F7F7F"/>
              <w:right w:val="single" w:sz="4" w:space="0" w:color="7F7F7F"/>
            </w:tcBorders>
            <w:shd w:val="clear" w:color="auto" w:fill="F2F2F2"/>
            <w:tcMar>
              <w:top w:w="0" w:type="dxa"/>
              <w:left w:w="113" w:type="dxa"/>
              <w:bottom w:w="0" w:type="dxa"/>
              <w:right w:w="113" w:type="dxa"/>
            </w:tcMar>
            <w:vAlign w:val="center"/>
          </w:tcPr>
          <w:p w:rsidR="005F39C8" w:rsidRDefault="00067991">
            <w:pPr>
              <w:rPr>
                <w:rFonts w:ascii="Times New Roman" w:eastAsia="Times New Roman" w:hAnsi="Times New Roman"/>
                <w:sz w:val="22"/>
                <w:szCs w:val="22"/>
                <w:lang w:eastAsia="pt-BR"/>
              </w:rPr>
            </w:pPr>
            <w:r>
              <w:rPr>
                <w:rFonts w:ascii="Times New Roman" w:eastAsia="Times New Roman" w:hAnsi="Times New Roman"/>
                <w:sz w:val="22"/>
                <w:szCs w:val="22"/>
                <w:lang w:eastAsia="pt-BR"/>
              </w:rPr>
              <w:t>INTERESSADO</w:t>
            </w:r>
          </w:p>
        </w:tc>
        <w:tc>
          <w:tcPr>
            <w:tcW w:w="7426" w:type="dxa"/>
            <w:tcBorders>
              <w:top w:val="single" w:sz="4" w:space="0" w:color="7F7F7F"/>
              <w:left w:val="single" w:sz="4" w:space="0" w:color="7F7F7F"/>
              <w:bottom w:val="single" w:sz="4" w:space="0" w:color="7F7F7F"/>
            </w:tcBorders>
            <w:shd w:val="clear" w:color="auto" w:fill="auto"/>
            <w:tcMar>
              <w:top w:w="0" w:type="dxa"/>
              <w:left w:w="113" w:type="dxa"/>
              <w:bottom w:w="0" w:type="dxa"/>
              <w:right w:w="113" w:type="dxa"/>
            </w:tcMar>
            <w:vAlign w:val="center"/>
          </w:tcPr>
          <w:p w:rsidR="005F39C8" w:rsidRDefault="00067991">
            <w:pPr>
              <w:spacing w:line="276" w:lineRule="auto"/>
              <w:ind w:left="1843" w:hanging="1843"/>
              <w:rPr>
                <w:rFonts w:ascii="Times New Roman" w:hAnsi="Times New Roman"/>
                <w:sz w:val="22"/>
                <w:szCs w:val="22"/>
              </w:rPr>
            </w:pPr>
            <w:r>
              <w:rPr>
                <w:rFonts w:ascii="Times New Roman" w:hAnsi="Times New Roman"/>
                <w:sz w:val="22"/>
                <w:szCs w:val="22"/>
              </w:rPr>
              <w:t>CEF-CAU/BR, CAUs/UF e IES</w:t>
            </w:r>
          </w:p>
        </w:tc>
      </w:tr>
      <w:tr w:rsidR="005F39C8">
        <w:tblPrEx>
          <w:tblCellMar>
            <w:top w:w="0" w:type="dxa"/>
            <w:bottom w:w="0" w:type="dxa"/>
          </w:tblCellMar>
        </w:tblPrEx>
        <w:trPr>
          <w:cantSplit/>
          <w:trHeight w:val="283"/>
          <w:jc w:val="center"/>
        </w:trPr>
        <w:tc>
          <w:tcPr>
            <w:tcW w:w="1764" w:type="dxa"/>
            <w:tcBorders>
              <w:top w:val="single" w:sz="4" w:space="0" w:color="7F7F7F"/>
              <w:bottom w:val="single" w:sz="4" w:space="0" w:color="7F7F7F"/>
              <w:right w:val="single" w:sz="4" w:space="0" w:color="7F7F7F"/>
            </w:tcBorders>
            <w:shd w:val="clear" w:color="auto" w:fill="F2F2F2"/>
            <w:tcMar>
              <w:top w:w="0" w:type="dxa"/>
              <w:left w:w="113" w:type="dxa"/>
              <w:bottom w:w="0" w:type="dxa"/>
              <w:right w:w="113" w:type="dxa"/>
            </w:tcMar>
            <w:vAlign w:val="center"/>
          </w:tcPr>
          <w:p w:rsidR="005F39C8" w:rsidRDefault="00067991">
            <w:pPr>
              <w:rPr>
                <w:rFonts w:ascii="Times New Roman" w:eastAsia="Times New Roman" w:hAnsi="Times New Roman"/>
                <w:sz w:val="22"/>
                <w:szCs w:val="22"/>
                <w:lang w:eastAsia="pt-BR"/>
              </w:rPr>
            </w:pPr>
            <w:r>
              <w:rPr>
                <w:rFonts w:ascii="Times New Roman" w:eastAsia="Times New Roman" w:hAnsi="Times New Roman"/>
                <w:sz w:val="22"/>
                <w:szCs w:val="22"/>
                <w:lang w:eastAsia="pt-BR"/>
              </w:rPr>
              <w:t>ASSUNTO</w:t>
            </w:r>
          </w:p>
        </w:tc>
        <w:tc>
          <w:tcPr>
            <w:tcW w:w="7426" w:type="dxa"/>
            <w:tcBorders>
              <w:top w:val="single" w:sz="4" w:space="0" w:color="7F7F7F"/>
              <w:left w:val="single" w:sz="4" w:space="0" w:color="7F7F7F"/>
              <w:bottom w:val="single" w:sz="4" w:space="0" w:color="7F7F7F"/>
            </w:tcBorders>
            <w:shd w:val="clear" w:color="auto" w:fill="auto"/>
            <w:tcMar>
              <w:top w:w="0" w:type="dxa"/>
              <w:left w:w="113" w:type="dxa"/>
              <w:bottom w:w="0" w:type="dxa"/>
              <w:right w:w="113" w:type="dxa"/>
            </w:tcMar>
            <w:vAlign w:val="center"/>
          </w:tcPr>
          <w:p w:rsidR="005F39C8" w:rsidRDefault="00067991">
            <w:pPr>
              <w:jc w:val="both"/>
            </w:pPr>
            <w:r>
              <w:rPr>
                <w:rFonts w:ascii="Times New Roman" w:eastAsia="Times New Roman" w:hAnsi="Times New Roman"/>
                <w:sz w:val="22"/>
                <w:szCs w:val="22"/>
                <w:lang w:eastAsia="pt-BR"/>
              </w:rPr>
              <w:t xml:space="preserve">Registro de Egressos dos cursos de Arquitetura e Urbanismo da Universidade Paulista ofertados nos campi Anchieta </w:t>
            </w:r>
            <w:r>
              <w:rPr>
                <w:rFonts w:ascii="Times New Roman" w:eastAsia="Times New Roman" w:hAnsi="Times New Roman"/>
                <w:sz w:val="22"/>
                <w:szCs w:val="22"/>
                <w:lang w:eastAsia="pt-BR"/>
              </w:rPr>
              <w:t>(MEC 11560</w:t>
            </w:r>
            <w:bookmarkStart w:id="0" w:name="_GoBack"/>
            <w:bookmarkEnd w:id="0"/>
            <w:r>
              <w:rPr>
                <w:rFonts w:ascii="Times New Roman" w:eastAsia="Times New Roman" w:hAnsi="Times New Roman"/>
                <w:sz w:val="22"/>
                <w:szCs w:val="22"/>
                <w:lang w:eastAsia="pt-BR"/>
              </w:rPr>
              <w:t xml:space="preserve">01) e Santo Antônio </w:t>
            </w:r>
            <w:r>
              <w:rPr>
                <w:rFonts w:ascii="Times New Roman" w:eastAsia="MS Mincho" w:hAnsi="Times New Roman"/>
                <w:sz w:val="22"/>
                <w:szCs w:val="22"/>
              </w:rPr>
              <w:t>(MEC 1156002)</w:t>
            </w:r>
          </w:p>
        </w:tc>
      </w:tr>
    </w:tbl>
    <w:p w:rsidR="005F39C8" w:rsidRDefault="00067991">
      <w:pPr>
        <w:pBdr>
          <w:top w:val="single" w:sz="8" w:space="1" w:color="7F7F7F"/>
          <w:bottom w:val="single" w:sz="8" w:space="1" w:color="7F7F7F"/>
        </w:pBdr>
        <w:shd w:val="clear" w:color="auto" w:fill="F2F2F2"/>
        <w:spacing w:after="240"/>
        <w:jc w:val="center"/>
        <w:rPr>
          <w:rFonts w:ascii="Times New Roman" w:eastAsia="Times New Roman" w:hAnsi="Times New Roman"/>
          <w:b/>
          <w:smallCaps/>
          <w:sz w:val="22"/>
          <w:szCs w:val="22"/>
          <w:lang w:eastAsia="pt-BR"/>
        </w:rPr>
      </w:pPr>
      <w:r>
        <w:rPr>
          <w:rFonts w:ascii="Times New Roman" w:eastAsia="Times New Roman" w:hAnsi="Times New Roman"/>
          <w:b/>
          <w:smallCaps/>
          <w:sz w:val="22"/>
          <w:szCs w:val="22"/>
          <w:lang w:eastAsia="pt-BR"/>
        </w:rPr>
        <w:t>DELIBERAÇÃO Nº 054/2018 – CEF-CAU/BR</w:t>
      </w:r>
    </w:p>
    <w:p w:rsidR="005F39C8" w:rsidRDefault="00067991">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A COMISSÃO DE ENSINO E FORMAÇÃO – CEF-CAU/BR, reunida ordinariamente em Brasília-DF, na Sede do CAU/BR, nos dias 07 e 08 de junho de 2018, no uso das competências que lhe con</w:t>
      </w:r>
      <w:r>
        <w:rPr>
          <w:rFonts w:ascii="Times New Roman" w:eastAsia="Times New Roman" w:hAnsi="Times New Roman"/>
          <w:sz w:val="22"/>
          <w:szCs w:val="22"/>
          <w:lang w:eastAsia="pt-BR"/>
        </w:rPr>
        <w:t>ferem o art. 99 do Regimento Interno do CAU/BR, após análise do assunto em epígrafe, e</w:t>
      </w:r>
    </w:p>
    <w:p w:rsidR="005F39C8" w:rsidRDefault="00067991">
      <w:pPr>
        <w:pStyle w:val="texto1"/>
        <w:jc w:val="both"/>
        <w:rPr>
          <w:sz w:val="22"/>
          <w:szCs w:val="22"/>
        </w:rPr>
      </w:pPr>
      <w:r>
        <w:rPr>
          <w:sz w:val="22"/>
          <w:szCs w:val="22"/>
        </w:rPr>
        <w:t>Considerando que o art. 6º da Lei 12378, de 31 de dezembro de 2010, determina que são requisitos para o registro capacidade civil e diploma de graduação em arquitetura e</w:t>
      </w:r>
      <w:r>
        <w:rPr>
          <w:sz w:val="22"/>
          <w:szCs w:val="22"/>
        </w:rPr>
        <w:t xml:space="preserve"> urbanismo, obtido em instituição de ensino superior oficialmente reconhecida (grifo nosso) pelo poder público;</w:t>
      </w:r>
    </w:p>
    <w:p w:rsidR="005F39C8" w:rsidRDefault="00067991">
      <w:pPr>
        <w:pStyle w:val="texto1"/>
        <w:jc w:val="both"/>
        <w:rPr>
          <w:sz w:val="22"/>
          <w:szCs w:val="22"/>
        </w:rPr>
      </w:pPr>
      <w:r>
        <w:rPr>
          <w:sz w:val="22"/>
          <w:szCs w:val="22"/>
        </w:rPr>
        <w:t>Considerando o Decreto nº 9.235, de 15 de dezembro de 2017, que dispõe sobre o exercício das funções de regulação, supervisão e avaliação das in</w:t>
      </w:r>
      <w:r>
        <w:rPr>
          <w:sz w:val="22"/>
          <w:szCs w:val="22"/>
        </w:rPr>
        <w:t>stituições de educação superior e dos cursos superiores de graduação e de pós-graduação no sistema federal de ensino, que no seu artigo 45 determina que o reconhecimento e o registro de curso são condições necessárias à validade nacional dos diplomas (grif</w:t>
      </w:r>
      <w:r>
        <w:rPr>
          <w:sz w:val="22"/>
          <w:szCs w:val="22"/>
        </w:rPr>
        <w:t>o nosso);</w:t>
      </w:r>
    </w:p>
    <w:p w:rsidR="005F39C8" w:rsidRDefault="00067991">
      <w:pPr>
        <w:pStyle w:val="texto1"/>
        <w:jc w:val="both"/>
        <w:rPr>
          <w:sz w:val="22"/>
          <w:szCs w:val="22"/>
        </w:rPr>
      </w:pPr>
      <w:r>
        <w:rPr>
          <w:sz w:val="22"/>
          <w:szCs w:val="22"/>
        </w:rPr>
        <w:t>Considerando os parágrafos 1º e 2º do artigo 45 Decreto nº 9235/2017, que complementam que o reconhecimento de curso presencial na sede não se estende às unidades fora de sede, para registro do diploma ou qualquer outro fim; e que o reconheciment</w:t>
      </w:r>
      <w:r>
        <w:rPr>
          <w:sz w:val="22"/>
          <w:szCs w:val="22"/>
        </w:rPr>
        <w:t>o de curso presencial em determinado Município se estende às unidades educacionais localizadas no mesmo Município, para registro do diploma ou qualquer outro fim, regulamentado pelo art. 30 da Portaria Normativa MEC nº 23/2017, de 21 de dezembro de 2017; e</w:t>
      </w:r>
      <w:r>
        <w:rPr>
          <w:sz w:val="22"/>
          <w:szCs w:val="22"/>
        </w:rPr>
        <w:t>, considerando que a avaliação do cumprimento destes requisitos compete a SERES-MEC;</w:t>
      </w:r>
    </w:p>
    <w:p w:rsidR="005F39C8" w:rsidRDefault="00067991">
      <w:pPr>
        <w:pStyle w:val="texto1"/>
        <w:jc w:val="both"/>
      </w:pPr>
      <w:r>
        <w:rPr>
          <w:sz w:val="22"/>
          <w:szCs w:val="22"/>
        </w:rPr>
        <w:t xml:space="preserve">Considerando que os cursos de graduação em Arquitetura e Urbanismo da Universidade Paulista ofertados nos campi Anchieta (MEC 1156001) e Santo Antônio </w:t>
      </w:r>
      <w:r>
        <w:rPr>
          <w:rFonts w:eastAsia="MS Mincho"/>
          <w:sz w:val="22"/>
          <w:szCs w:val="22"/>
        </w:rPr>
        <w:t xml:space="preserve">(MEC 1156002) </w:t>
      </w:r>
      <w:r>
        <w:rPr>
          <w:sz w:val="22"/>
          <w:szCs w:val="22"/>
        </w:rPr>
        <w:t>não po</w:t>
      </w:r>
      <w:r>
        <w:rPr>
          <w:sz w:val="22"/>
          <w:szCs w:val="22"/>
        </w:rPr>
        <w:t>ssuem portaria de reconhecimento publicada, conforme dados do eMEC, e considerando a Deliberação 004/2018 CEF-CAU/BR que analisou a tempestividade dos cursos citados, constatando que não existe protocolo de solicitação de reconhecimento efetuado até o mome</w:t>
      </w:r>
      <w:r>
        <w:rPr>
          <w:sz w:val="22"/>
          <w:szCs w:val="22"/>
        </w:rPr>
        <w:t>nto, e que entretanto, existem solicitações de registro de egressos apresentando documentação dos referidos cursos;</w:t>
      </w:r>
    </w:p>
    <w:p w:rsidR="005F39C8" w:rsidRDefault="00067991">
      <w:pPr>
        <w:jc w:val="both"/>
      </w:pPr>
      <w:r>
        <w:rPr>
          <w:rFonts w:ascii="Times New Roman" w:eastAsia="Times New Roman" w:hAnsi="Times New Roman"/>
          <w:sz w:val="22"/>
          <w:szCs w:val="22"/>
          <w:lang w:eastAsia="pt-BR"/>
        </w:rPr>
        <w:t xml:space="preserve">Considerando a Deliberação 35/2017 CEF-CAU/BR, em resposta ao </w:t>
      </w:r>
      <w:r>
        <w:rPr>
          <w:rFonts w:ascii="Times New Roman" w:eastAsia="Times New Roman" w:hAnsi="Times New Roman"/>
          <w:sz w:val="22"/>
          <w:szCs w:val="22"/>
        </w:rPr>
        <w:t xml:space="preserve">Memorando 006/2018 CEF-CAU/SP, que </w:t>
      </w:r>
      <w:r>
        <w:rPr>
          <w:rFonts w:ascii="Times New Roman" w:eastAsia="Times New Roman" w:hAnsi="Times New Roman"/>
          <w:sz w:val="22"/>
          <w:szCs w:val="22"/>
          <w:lang w:eastAsia="pt-BR"/>
        </w:rPr>
        <w:t>esclarecer ao CAU/SP que a CEF-CAU/BR agu</w:t>
      </w:r>
      <w:r>
        <w:rPr>
          <w:rFonts w:ascii="Times New Roman" w:eastAsia="Times New Roman" w:hAnsi="Times New Roman"/>
          <w:sz w:val="22"/>
          <w:szCs w:val="22"/>
          <w:lang w:eastAsia="pt-BR"/>
        </w:rPr>
        <w:t>arda retorno da SERES-MEC acerca do questionamento sobre o caso efetuado por meio da Deliberação 170/2017 CEF-CAU/BR, e que até o retorno da SERES-MEC deverá ser considerado o constante da Deliberação 004/2018 CEF-CAU/BR quanto a situação dos cursos;</w:t>
      </w:r>
    </w:p>
    <w:p w:rsidR="005F39C8" w:rsidRDefault="00067991">
      <w:pPr>
        <w:pStyle w:val="texto1"/>
        <w:jc w:val="both"/>
        <w:rPr>
          <w:sz w:val="22"/>
          <w:szCs w:val="22"/>
        </w:rPr>
      </w:pPr>
      <w:r>
        <w:rPr>
          <w:sz w:val="22"/>
          <w:szCs w:val="22"/>
        </w:rPr>
        <w:t>Consi</w:t>
      </w:r>
      <w:r>
        <w:rPr>
          <w:sz w:val="22"/>
          <w:szCs w:val="22"/>
        </w:rPr>
        <w:t>derando a realização de reunião entre o CAU/BR, a SERES/MEC e o Ministro da Educação, no dia 09 de maio de 2018, onde foi relatada a situação, e que por solicitação da SERES/MEC, a consulta sobre a questão foi reiterada por meio do Ofício nº 125/2018-CAU/B</w:t>
      </w:r>
      <w:r>
        <w:rPr>
          <w:sz w:val="22"/>
          <w:szCs w:val="22"/>
        </w:rPr>
        <w:t>R, em 21 de maio de 2018, e que até o momento não obteve resposta;</w:t>
      </w:r>
    </w:p>
    <w:p w:rsidR="005F39C8" w:rsidRDefault="00067991">
      <w:pPr>
        <w:pStyle w:val="texto1"/>
        <w:jc w:val="both"/>
      </w:pPr>
      <w:r>
        <w:rPr>
          <w:sz w:val="22"/>
          <w:szCs w:val="22"/>
        </w:rPr>
        <w:t>Considerando o Ofício UNIP, datado de 07 de junho de 2018, protocolado junto ao CAU/SP sob o protocolo SICCAU 710265/2018, cujo conteúdo foi enviado paralelamente para a CEF-CAU/BR por e-ma</w:t>
      </w:r>
      <w:r>
        <w:rPr>
          <w:sz w:val="22"/>
          <w:szCs w:val="22"/>
        </w:rPr>
        <w:t xml:space="preserve">il na mesma data, onde a Instituição de Ensino apresenta esclarecimentos quanto ao atendimento ao disposto no art. 30 da Portaria Normativa MEC nº 23/2017, de 21 de dezembro de 2017, anexo a esta deliberação;  </w:t>
      </w:r>
    </w:p>
    <w:p w:rsidR="005F39C8" w:rsidRDefault="00067991">
      <w:pPr>
        <w:pStyle w:val="texto1"/>
        <w:jc w:val="both"/>
        <w:rPr>
          <w:sz w:val="22"/>
          <w:szCs w:val="22"/>
        </w:rPr>
      </w:pPr>
      <w:r>
        <w:rPr>
          <w:sz w:val="22"/>
          <w:szCs w:val="22"/>
        </w:rPr>
        <w:t>Considerando que a impossibilidade de registr</w:t>
      </w:r>
      <w:r>
        <w:rPr>
          <w:sz w:val="22"/>
          <w:szCs w:val="22"/>
        </w:rPr>
        <w:t>o pode trazer prejuízo aos egressos do curso em questão, em função de mora na resposta por parte da Secretaria de Regulação do Ensino Superior – SERES-MEC.</w:t>
      </w:r>
    </w:p>
    <w:p w:rsidR="005F39C8" w:rsidRDefault="005F39C8">
      <w:pPr>
        <w:pStyle w:val="texto1"/>
        <w:jc w:val="both"/>
        <w:rPr>
          <w:sz w:val="22"/>
          <w:szCs w:val="22"/>
        </w:rPr>
      </w:pPr>
    </w:p>
    <w:p w:rsidR="005F39C8" w:rsidRDefault="005F39C8">
      <w:pPr>
        <w:pStyle w:val="texto1"/>
        <w:jc w:val="both"/>
        <w:rPr>
          <w:sz w:val="22"/>
          <w:szCs w:val="22"/>
        </w:rPr>
      </w:pPr>
    </w:p>
    <w:p w:rsidR="005F39C8" w:rsidRDefault="005F39C8">
      <w:pPr>
        <w:jc w:val="both"/>
      </w:pPr>
    </w:p>
    <w:p w:rsidR="005F39C8" w:rsidRDefault="005F39C8">
      <w:pPr>
        <w:jc w:val="both"/>
        <w:rPr>
          <w:sz w:val="22"/>
          <w:szCs w:val="22"/>
        </w:rPr>
      </w:pPr>
    </w:p>
    <w:tbl>
      <w:tblPr>
        <w:tblW w:w="9464" w:type="dxa"/>
        <w:tblLayout w:type="fixed"/>
        <w:tblCellMar>
          <w:left w:w="10" w:type="dxa"/>
          <w:right w:w="10" w:type="dxa"/>
        </w:tblCellMar>
        <w:tblLook w:val="0000" w:firstRow="0" w:lastRow="0" w:firstColumn="0" w:lastColumn="0" w:noHBand="0" w:noVBand="0"/>
      </w:tblPr>
      <w:tblGrid>
        <w:gridCol w:w="9464"/>
      </w:tblGrid>
      <w:tr w:rsidR="005F39C8">
        <w:tblPrEx>
          <w:tblCellMar>
            <w:top w:w="0" w:type="dxa"/>
            <w:bottom w:w="0" w:type="dxa"/>
          </w:tblCellMar>
        </w:tblPrEx>
        <w:trPr>
          <w:trHeight w:val="567"/>
        </w:trPr>
        <w:tc>
          <w:tcPr>
            <w:tcW w:w="9464" w:type="dxa"/>
            <w:tcBorders>
              <w:top w:val="single" w:sz="2" w:space="0" w:color="FFFFFF"/>
              <w:left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5F39C8" w:rsidRDefault="00067991">
            <w:pPr>
              <w:jc w:val="both"/>
              <w:rPr>
                <w:rFonts w:ascii="Times New Roman" w:eastAsia="Times New Roman" w:hAnsi="Times New Roman"/>
                <w:b/>
                <w:sz w:val="22"/>
                <w:szCs w:val="22"/>
                <w:lang w:eastAsia="pt-BR"/>
              </w:rPr>
            </w:pPr>
            <w:r>
              <w:rPr>
                <w:rFonts w:ascii="Times New Roman" w:eastAsia="Times New Roman" w:hAnsi="Times New Roman"/>
                <w:b/>
                <w:sz w:val="22"/>
                <w:szCs w:val="22"/>
                <w:lang w:eastAsia="pt-BR"/>
              </w:rPr>
              <w:t>DELIBERA:</w:t>
            </w:r>
          </w:p>
          <w:p w:rsidR="005F39C8" w:rsidRDefault="005F39C8">
            <w:pPr>
              <w:jc w:val="both"/>
              <w:rPr>
                <w:rFonts w:ascii="Times New Roman" w:eastAsia="Times New Roman" w:hAnsi="Times New Roman"/>
                <w:sz w:val="22"/>
                <w:szCs w:val="22"/>
                <w:lang w:eastAsia="pt-BR"/>
              </w:rPr>
            </w:pPr>
          </w:p>
          <w:p w:rsidR="005F39C8" w:rsidRDefault="005F39C8">
            <w:pPr>
              <w:ind w:left="360"/>
              <w:jc w:val="both"/>
              <w:rPr>
                <w:rFonts w:ascii="Times New Roman" w:eastAsia="Times New Roman" w:hAnsi="Times New Roman"/>
                <w:sz w:val="22"/>
                <w:szCs w:val="22"/>
                <w:lang w:eastAsia="pt-BR"/>
              </w:rPr>
            </w:pPr>
          </w:p>
          <w:p w:rsidR="005F39C8" w:rsidRDefault="00067991">
            <w:pPr>
              <w:numPr>
                <w:ilvl w:val="0"/>
                <w:numId w:val="1"/>
              </w:num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Autorizar, diante da declaração apresentada pela Instituição de Ensino do cumpriment</w:t>
            </w:r>
            <w:r>
              <w:rPr>
                <w:rFonts w:ascii="Times New Roman" w:eastAsia="Times New Roman" w:hAnsi="Times New Roman"/>
                <w:sz w:val="22"/>
                <w:szCs w:val="22"/>
                <w:lang w:eastAsia="pt-BR"/>
              </w:rPr>
              <w:t>o aos normativos vigentes, os CAU/UF a efetuar registro provisório dos egressos dos cursos de graduação em Arquitetura e Urbanismo da Universidade Paulista ofertados nos campi Anchieta (MEC 1156001) e Santo Antônio (MEC 1156002) até que seja publicada port</w:t>
            </w:r>
            <w:r>
              <w:rPr>
                <w:rFonts w:ascii="Times New Roman" w:eastAsia="Times New Roman" w:hAnsi="Times New Roman"/>
                <w:sz w:val="22"/>
                <w:szCs w:val="22"/>
                <w:lang w:eastAsia="pt-BR"/>
              </w:rPr>
              <w:t>aria de reconhecimento do curso;</w:t>
            </w:r>
          </w:p>
          <w:p w:rsidR="005F39C8" w:rsidRDefault="005F39C8">
            <w:pPr>
              <w:ind w:left="720"/>
              <w:jc w:val="both"/>
              <w:rPr>
                <w:rFonts w:ascii="Times New Roman" w:eastAsia="Times New Roman" w:hAnsi="Times New Roman"/>
                <w:sz w:val="22"/>
                <w:szCs w:val="22"/>
                <w:lang w:eastAsia="pt-BR"/>
              </w:rPr>
            </w:pPr>
          </w:p>
          <w:p w:rsidR="005F39C8" w:rsidRDefault="00067991">
            <w:pPr>
              <w:numPr>
                <w:ilvl w:val="0"/>
                <w:numId w:val="1"/>
              </w:num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Esclarecer que, independente da orientação desta deliberação, a CEF-CAU/BR aguarda posicionamento da SERES-MEC acerca da consulta sobre a extensão do reconhecimento da sede aos campi mencionados;</w:t>
            </w:r>
          </w:p>
          <w:p w:rsidR="005F39C8" w:rsidRDefault="005F39C8">
            <w:pPr>
              <w:ind w:left="360"/>
              <w:jc w:val="both"/>
              <w:rPr>
                <w:rFonts w:ascii="Times New Roman" w:eastAsia="Times New Roman" w:hAnsi="Times New Roman"/>
                <w:sz w:val="22"/>
                <w:szCs w:val="22"/>
                <w:lang w:eastAsia="pt-BR"/>
              </w:rPr>
            </w:pPr>
          </w:p>
          <w:p w:rsidR="005F39C8" w:rsidRDefault="00067991">
            <w:pPr>
              <w:numPr>
                <w:ilvl w:val="0"/>
                <w:numId w:val="1"/>
              </w:num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Solicitar o compartilhame</w:t>
            </w:r>
            <w:r>
              <w:rPr>
                <w:rFonts w:ascii="Times New Roman" w:eastAsia="Times New Roman" w:hAnsi="Times New Roman"/>
                <w:sz w:val="22"/>
                <w:szCs w:val="22"/>
                <w:lang w:eastAsia="pt-BR"/>
              </w:rPr>
              <w:t>nto do conteúdo desta deliberação com as assessorias das Comissões de Ensino e Formação dos CAU/UF, por intermédio do conselheiro representante das IES;</w:t>
            </w:r>
          </w:p>
          <w:p w:rsidR="005F39C8" w:rsidRDefault="005F39C8">
            <w:pPr>
              <w:pStyle w:val="PargrafodaLista"/>
              <w:ind w:left="0"/>
              <w:rPr>
                <w:rFonts w:ascii="Times New Roman" w:eastAsia="Times New Roman" w:hAnsi="Times New Roman"/>
                <w:sz w:val="22"/>
                <w:szCs w:val="22"/>
                <w:lang w:eastAsia="pt-BR"/>
              </w:rPr>
            </w:pPr>
          </w:p>
          <w:p w:rsidR="005F39C8" w:rsidRDefault="00067991">
            <w:pPr>
              <w:numPr>
                <w:ilvl w:val="0"/>
                <w:numId w:val="1"/>
              </w:num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Enviar esta deliberação à Presidência do CAU/BR para conhecimento e tomada das seguintes providências:</w:t>
            </w:r>
            <w:r>
              <w:rPr>
                <w:rFonts w:ascii="Times New Roman" w:eastAsia="Times New Roman" w:hAnsi="Times New Roman"/>
                <w:sz w:val="22"/>
                <w:szCs w:val="22"/>
                <w:lang w:eastAsia="pt-BR"/>
              </w:rPr>
              <w:t xml:space="preserve"> </w:t>
            </w:r>
          </w:p>
          <w:p w:rsidR="005F39C8" w:rsidRDefault="00067991">
            <w:pPr>
              <w:ind w:left="360"/>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a) Informar a Presidência e Comissão de Ensino e Formação dos CAU/UF acerca do conteúdo desta deliberação.</w:t>
            </w:r>
          </w:p>
        </w:tc>
      </w:tr>
    </w:tbl>
    <w:p w:rsidR="005F39C8" w:rsidRDefault="005F39C8">
      <w:pPr>
        <w:jc w:val="both"/>
        <w:rPr>
          <w:rFonts w:ascii="Times New Roman" w:eastAsia="Times New Roman" w:hAnsi="Times New Roman"/>
          <w:sz w:val="22"/>
          <w:szCs w:val="22"/>
          <w:lang w:eastAsia="pt-BR"/>
        </w:rPr>
      </w:pPr>
    </w:p>
    <w:p w:rsidR="005F39C8" w:rsidRDefault="00067991">
      <w:pPr>
        <w:jc w:val="center"/>
      </w:pPr>
      <w:r>
        <w:fldChar w:fldCharType="begin"/>
      </w:r>
      <w:r>
        <w:instrText xml:space="preserve"> MERGEFIELD Cidade </w:instrText>
      </w:r>
      <w:r>
        <w:fldChar w:fldCharType="separate"/>
      </w:r>
      <w:r>
        <w:t>Brasília</w:t>
      </w:r>
      <w:r>
        <w:fldChar w:fldCharType="end"/>
      </w:r>
      <w:r>
        <w:rPr>
          <w:rFonts w:ascii="Times New Roman" w:eastAsia="Times New Roman" w:hAnsi="Times New Roman"/>
          <w:sz w:val="22"/>
          <w:szCs w:val="22"/>
          <w:lang w:eastAsia="pt-BR"/>
        </w:rPr>
        <w:t xml:space="preserve"> – </w:t>
      </w:r>
      <w:r>
        <w:fldChar w:fldCharType="begin"/>
      </w:r>
      <w:r>
        <w:instrText xml:space="preserve"> MERGEFIELD UF </w:instrText>
      </w:r>
      <w:r>
        <w:fldChar w:fldCharType="separate"/>
      </w:r>
      <w:r>
        <w:t>DF</w:t>
      </w:r>
      <w:r>
        <w:fldChar w:fldCharType="end"/>
      </w:r>
      <w:r>
        <w:rPr>
          <w:rFonts w:ascii="Times New Roman" w:eastAsia="Times New Roman" w:hAnsi="Times New Roman"/>
          <w:sz w:val="22"/>
          <w:szCs w:val="22"/>
          <w:lang w:eastAsia="pt-BR"/>
        </w:rPr>
        <w:t xml:space="preserve">, 07 de junho de </w:t>
      </w:r>
      <w:r>
        <w:fldChar w:fldCharType="begin"/>
      </w:r>
      <w:r>
        <w:instrText xml:space="preserve"> MERGEFIELD ano1 </w:instrText>
      </w:r>
      <w:r>
        <w:fldChar w:fldCharType="separate"/>
      </w:r>
      <w:r>
        <w:t>2018</w:t>
      </w:r>
      <w:r>
        <w:fldChar w:fldCharType="end"/>
      </w:r>
      <w:r>
        <w:rPr>
          <w:rFonts w:ascii="Times New Roman" w:eastAsia="Times New Roman" w:hAnsi="Times New Roman"/>
          <w:sz w:val="22"/>
          <w:szCs w:val="22"/>
          <w:lang w:eastAsia="pt-BR"/>
        </w:rPr>
        <w:t>.</w:t>
      </w:r>
    </w:p>
    <w:p w:rsidR="005F39C8" w:rsidRDefault="005F39C8">
      <w:pPr>
        <w:jc w:val="center"/>
        <w:rPr>
          <w:rFonts w:ascii="Times New Roman" w:eastAsia="Times New Roman" w:hAnsi="Times New Roman"/>
          <w:sz w:val="22"/>
          <w:szCs w:val="22"/>
          <w:lang w:eastAsia="pt-BR"/>
        </w:rPr>
      </w:pPr>
    </w:p>
    <w:p w:rsidR="005F39C8" w:rsidRDefault="005F39C8">
      <w:pPr>
        <w:jc w:val="center"/>
        <w:rPr>
          <w:rFonts w:ascii="Times New Roman" w:eastAsia="Times New Roman" w:hAnsi="Times New Roman"/>
          <w:sz w:val="22"/>
          <w:szCs w:val="22"/>
          <w:lang w:eastAsia="pt-BR"/>
        </w:rPr>
      </w:pPr>
    </w:p>
    <w:p w:rsidR="005F39C8" w:rsidRDefault="005F39C8">
      <w:pPr>
        <w:jc w:val="center"/>
      </w:pPr>
    </w:p>
    <w:p w:rsidR="005F39C8" w:rsidRDefault="005F39C8">
      <w:pPr>
        <w:ind w:firstLine="1701"/>
        <w:jc w:val="both"/>
        <w:rPr>
          <w:rFonts w:ascii="Times New Roman" w:eastAsia="Times New Roman" w:hAnsi="Times New Roman"/>
          <w:sz w:val="22"/>
          <w:szCs w:val="22"/>
          <w:shd w:val="clear" w:color="auto" w:fill="FFFF00"/>
          <w:lang w:eastAsia="pt-BR"/>
        </w:rPr>
      </w:pPr>
    </w:p>
    <w:tbl>
      <w:tblPr>
        <w:tblW w:w="9353" w:type="dxa"/>
        <w:tblCellMar>
          <w:left w:w="10" w:type="dxa"/>
          <w:right w:w="10" w:type="dxa"/>
        </w:tblCellMar>
        <w:tblLook w:val="0000" w:firstRow="0" w:lastRow="0" w:firstColumn="0" w:lastColumn="0" w:noHBand="0" w:noVBand="0"/>
      </w:tblPr>
      <w:tblGrid>
        <w:gridCol w:w="4676"/>
        <w:gridCol w:w="4677"/>
      </w:tblGrid>
      <w:tr w:rsidR="005F39C8">
        <w:tblPrEx>
          <w:tblCellMar>
            <w:top w:w="0" w:type="dxa"/>
            <w:bottom w:w="0" w:type="dxa"/>
          </w:tblCellMar>
        </w:tblPrEx>
        <w:tc>
          <w:tcPr>
            <w:tcW w:w="467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5F39C8" w:rsidRDefault="00067991">
            <w:pPr>
              <w:autoSpaceDE w:val="0"/>
            </w:pPr>
            <w:r>
              <w:rPr>
                <w:rFonts w:ascii="Times New Roman" w:eastAsia="Times New Roman" w:hAnsi="Times New Roman"/>
                <w:b/>
                <w:caps/>
                <w:spacing w:val="4"/>
                <w:sz w:val="22"/>
                <w:szCs w:val="22"/>
                <w:lang w:eastAsia="pt-BR"/>
              </w:rPr>
              <w:t>Andrea LÚcia Vilella Arruda</w:t>
            </w:r>
          </w:p>
          <w:p w:rsidR="005F39C8" w:rsidRDefault="00067991">
            <w:pPr>
              <w:autoSpaceDE w:val="0"/>
            </w:pPr>
            <w:r>
              <w:rPr>
                <w:rFonts w:ascii="Times New Roman" w:eastAsia="Calibri" w:hAnsi="Times New Roman"/>
                <w:sz w:val="22"/>
                <w:szCs w:val="22"/>
                <w:lang w:eastAsia="pt-BR"/>
              </w:rPr>
              <w:t>Coordenadora</w:t>
            </w:r>
          </w:p>
          <w:p w:rsidR="005F39C8" w:rsidRDefault="005F39C8">
            <w:pPr>
              <w:autoSpaceDE w:val="0"/>
              <w:rPr>
                <w:rFonts w:ascii="Times New Roman" w:eastAsia="Times New Roman" w:hAnsi="Times New Roman"/>
                <w:sz w:val="22"/>
                <w:szCs w:val="22"/>
                <w:lang w:eastAsia="pt-BR"/>
              </w:rPr>
            </w:pPr>
          </w:p>
        </w:tc>
        <w:tc>
          <w:tcPr>
            <w:tcW w:w="467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5F39C8" w:rsidRDefault="00067991">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________________________________________</w:t>
            </w:r>
          </w:p>
        </w:tc>
      </w:tr>
      <w:tr w:rsidR="005F39C8">
        <w:tblPrEx>
          <w:tblCellMar>
            <w:top w:w="0" w:type="dxa"/>
            <w:bottom w:w="0" w:type="dxa"/>
          </w:tblCellMar>
        </w:tblPrEx>
        <w:tc>
          <w:tcPr>
            <w:tcW w:w="467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5F39C8" w:rsidRDefault="00067991">
            <w:pPr>
              <w:jc w:val="both"/>
            </w:pPr>
            <w:r>
              <w:rPr>
                <w:rFonts w:ascii="Times New Roman" w:eastAsia="Times New Roman" w:hAnsi="Times New Roman"/>
                <w:b/>
                <w:caps/>
                <w:spacing w:val="4"/>
                <w:sz w:val="22"/>
                <w:szCs w:val="22"/>
              </w:rPr>
              <w:t>Hélio Cavalcanti da Costa Lima</w:t>
            </w:r>
          </w:p>
          <w:p w:rsidR="005F39C8" w:rsidRDefault="00067991">
            <w:pPr>
              <w:jc w:val="both"/>
            </w:pPr>
            <w:r>
              <w:rPr>
                <w:rFonts w:ascii="Times New Roman" w:eastAsia="Times New Roman" w:hAnsi="Times New Roman"/>
                <w:sz w:val="22"/>
                <w:szCs w:val="22"/>
                <w:lang w:eastAsia="pt-BR"/>
              </w:rPr>
              <w:t>Coordenador-Adjunto</w:t>
            </w:r>
          </w:p>
          <w:p w:rsidR="005F39C8" w:rsidRDefault="005F39C8">
            <w:pPr>
              <w:jc w:val="both"/>
              <w:rPr>
                <w:rFonts w:ascii="Times New Roman" w:eastAsia="Times New Roman" w:hAnsi="Times New Roman"/>
                <w:sz w:val="22"/>
                <w:szCs w:val="22"/>
                <w:lang w:eastAsia="pt-BR"/>
              </w:rPr>
            </w:pPr>
          </w:p>
        </w:tc>
        <w:tc>
          <w:tcPr>
            <w:tcW w:w="467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5F39C8" w:rsidRDefault="00067991">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________________________________________</w:t>
            </w:r>
          </w:p>
        </w:tc>
      </w:tr>
      <w:tr w:rsidR="005F39C8">
        <w:tblPrEx>
          <w:tblCellMar>
            <w:top w:w="0" w:type="dxa"/>
            <w:bottom w:w="0" w:type="dxa"/>
          </w:tblCellMar>
        </w:tblPrEx>
        <w:tc>
          <w:tcPr>
            <w:tcW w:w="467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5F39C8" w:rsidRDefault="00067991">
            <w:pPr>
              <w:jc w:val="both"/>
            </w:pPr>
            <w:r>
              <w:rPr>
                <w:rFonts w:ascii="Times New Roman" w:eastAsia="Times New Roman" w:hAnsi="Times New Roman"/>
                <w:b/>
                <w:caps/>
                <w:spacing w:val="4"/>
                <w:sz w:val="22"/>
                <w:szCs w:val="22"/>
              </w:rPr>
              <w:t>Humberto Mauro Andrade Cruz</w:t>
            </w:r>
          </w:p>
          <w:p w:rsidR="005F39C8" w:rsidRDefault="00067991">
            <w:pPr>
              <w:jc w:val="both"/>
            </w:pPr>
            <w:r>
              <w:rPr>
                <w:rFonts w:ascii="Times New Roman" w:eastAsia="Times New Roman" w:hAnsi="Times New Roman"/>
                <w:sz w:val="22"/>
                <w:szCs w:val="22"/>
                <w:lang w:eastAsia="pt-BR"/>
              </w:rPr>
              <w:t>Membro</w:t>
            </w:r>
          </w:p>
          <w:p w:rsidR="005F39C8" w:rsidRDefault="005F39C8">
            <w:pPr>
              <w:jc w:val="both"/>
              <w:rPr>
                <w:rFonts w:ascii="Times New Roman" w:eastAsia="Times New Roman" w:hAnsi="Times New Roman"/>
                <w:sz w:val="22"/>
                <w:szCs w:val="22"/>
                <w:lang w:eastAsia="pt-BR"/>
              </w:rPr>
            </w:pPr>
          </w:p>
        </w:tc>
        <w:tc>
          <w:tcPr>
            <w:tcW w:w="467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5F39C8" w:rsidRDefault="00067991">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________________________________________</w:t>
            </w:r>
          </w:p>
        </w:tc>
      </w:tr>
      <w:tr w:rsidR="005F39C8">
        <w:tblPrEx>
          <w:tblCellMar>
            <w:top w:w="0" w:type="dxa"/>
            <w:bottom w:w="0" w:type="dxa"/>
          </w:tblCellMar>
        </w:tblPrEx>
        <w:tc>
          <w:tcPr>
            <w:tcW w:w="467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5F39C8" w:rsidRDefault="00067991">
            <w:pPr>
              <w:jc w:val="both"/>
            </w:pPr>
            <w:r>
              <w:rPr>
                <w:rFonts w:ascii="Times New Roman" w:eastAsia="Times New Roman" w:hAnsi="Times New Roman"/>
                <w:b/>
                <w:caps/>
                <w:spacing w:val="4"/>
                <w:sz w:val="22"/>
                <w:szCs w:val="22"/>
              </w:rPr>
              <w:t>Alfredo Renato Pena Brana</w:t>
            </w:r>
          </w:p>
          <w:p w:rsidR="005F39C8" w:rsidRDefault="00067991">
            <w:pPr>
              <w:jc w:val="both"/>
            </w:pPr>
            <w:r>
              <w:rPr>
                <w:rFonts w:ascii="Times New Roman" w:eastAsia="Times New Roman" w:hAnsi="Times New Roman"/>
                <w:sz w:val="22"/>
                <w:szCs w:val="22"/>
                <w:lang w:eastAsia="pt-BR"/>
              </w:rPr>
              <w:t>Membro</w:t>
            </w:r>
          </w:p>
          <w:p w:rsidR="005F39C8" w:rsidRDefault="005F39C8">
            <w:pPr>
              <w:jc w:val="both"/>
              <w:rPr>
                <w:rFonts w:ascii="Times New Roman" w:eastAsia="Times New Roman" w:hAnsi="Times New Roman"/>
                <w:sz w:val="22"/>
                <w:szCs w:val="22"/>
                <w:lang w:eastAsia="pt-BR"/>
              </w:rPr>
            </w:pPr>
          </w:p>
        </w:tc>
        <w:tc>
          <w:tcPr>
            <w:tcW w:w="467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5F39C8" w:rsidRDefault="00067991">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________</w:t>
            </w:r>
            <w:r>
              <w:rPr>
                <w:rFonts w:ascii="Times New Roman" w:eastAsia="Times New Roman" w:hAnsi="Times New Roman"/>
                <w:sz w:val="22"/>
                <w:szCs w:val="22"/>
                <w:lang w:eastAsia="pt-BR"/>
              </w:rPr>
              <w:t>________________________________</w:t>
            </w:r>
          </w:p>
        </w:tc>
      </w:tr>
      <w:tr w:rsidR="005F39C8">
        <w:tblPrEx>
          <w:tblCellMar>
            <w:top w:w="0" w:type="dxa"/>
            <w:bottom w:w="0" w:type="dxa"/>
          </w:tblCellMar>
        </w:tblPrEx>
        <w:tc>
          <w:tcPr>
            <w:tcW w:w="4676"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5F39C8" w:rsidRDefault="00067991">
            <w:pPr>
              <w:autoSpaceDE w:val="0"/>
            </w:pPr>
            <w:r>
              <w:rPr>
                <w:rFonts w:ascii="Times New Roman" w:eastAsia="Times New Roman" w:hAnsi="Times New Roman"/>
                <w:b/>
                <w:caps/>
                <w:spacing w:val="4"/>
                <w:sz w:val="22"/>
                <w:szCs w:val="22"/>
              </w:rPr>
              <w:t>Juliano Pamplona Ximenes Ponte</w:t>
            </w:r>
          </w:p>
          <w:p w:rsidR="005F39C8" w:rsidRDefault="00067991">
            <w:pPr>
              <w:autoSpaceDE w:val="0"/>
            </w:pPr>
            <w:r>
              <w:rPr>
                <w:rFonts w:ascii="Times New Roman" w:eastAsia="Calibri" w:hAnsi="Times New Roman"/>
                <w:sz w:val="22"/>
                <w:szCs w:val="22"/>
                <w:lang w:eastAsia="pt-BR"/>
              </w:rPr>
              <w:t>Membro</w:t>
            </w:r>
          </w:p>
          <w:p w:rsidR="005F39C8" w:rsidRDefault="005F39C8">
            <w:pPr>
              <w:autoSpaceDE w:val="0"/>
              <w:rPr>
                <w:rFonts w:ascii="Times New Roman" w:eastAsia="Times New Roman" w:hAnsi="Times New Roman"/>
                <w:sz w:val="22"/>
                <w:szCs w:val="22"/>
                <w:lang w:eastAsia="pt-BR"/>
              </w:rPr>
            </w:pPr>
          </w:p>
        </w:tc>
        <w:tc>
          <w:tcPr>
            <w:tcW w:w="4677"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rsidR="005F39C8" w:rsidRDefault="00067991">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________________________________________</w:t>
            </w:r>
          </w:p>
        </w:tc>
      </w:tr>
    </w:tbl>
    <w:p w:rsidR="005F39C8" w:rsidRDefault="005F39C8">
      <w:pPr>
        <w:jc w:val="both"/>
        <w:rPr>
          <w:rFonts w:ascii="Times New Roman" w:eastAsia="Times New Roman" w:hAnsi="Times New Roman"/>
          <w:sz w:val="22"/>
          <w:szCs w:val="22"/>
          <w:lang w:eastAsia="pt-BR"/>
        </w:rPr>
      </w:pPr>
    </w:p>
    <w:sectPr w:rsidR="005F39C8">
      <w:headerReference w:type="default" r:id="rId8"/>
      <w:footerReference w:type="default" r:id="rId9"/>
      <w:pgSz w:w="11900" w:h="16840"/>
      <w:pgMar w:top="1985" w:right="1128" w:bottom="1559" w:left="1559" w:header="1327" w:footer="5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67991">
      <w:r>
        <w:separator/>
      </w:r>
    </w:p>
  </w:endnote>
  <w:endnote w:type="continuationSeparator" w:id="0">
    <w:p w:rsidR="00000000" w:rsidRDefault="0006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A60" w:rsidRDefault="00067991">
    <w:pPr>
      <w:pStyle w:val="Rodap"/>
      <w:ind w:right="360"/>
    </w:pPr>
    <w:r>
      <w:rPr>
        <w:noProof/>
        <w:lang w:eastAsia="pt-BR"/>
      </w:rPr>
      <mc:AlternateContent>
        <mc:Choice Requires="wps">
          <w:drawing>
            <wp:anchor distT="0" distB="0" distL="114300" distR="114300" simplePos="0" relativeHeight="251661312" behindDoc="0" locked="0" layoutInCell="1" allowOverlap="1">
              <wp:simplePos x="0" y="0"/>
              <wp:positionH relativeFrom="page">
                <wp:posOffset>6614769</wp:posOffset>
              </wp:positionH>
              <wp:positionV relativeFrom="paragraph">
                <wp:posOffset>-196778</wp:posOffset>
              </wp:positionV>
              <wp:extent cx="675641" cy="228600"/>
              <wp:effectExtent l="0" t="0" r="10159" b="0"/>
              <wp:wrapSquare wrapText="bothSides"/>
              <wp:docPr id="2" name="Caixa de texto 2"/>
              <wp:cNvGraphicFramePr/>
              <a:graphic xmlns:a="http://schemas.openxmlformats.org/drawingml/2006/main">
                <a:graphicData uri="http://schemas.microsoft.com/office/word/2010/wordprocessingShape">
                  <wps:wsp>
                    <wps:cNvSpPr txBox="1"/>
                    <wps:spPr>
                      <a:xfrm>
                        <a:off x="0" y="0"/>
                        <a:ext cx="675641" cy="228600"/>
                      </a:xfrm>
                      <a:prstGeom prst="rect">
                        <a:avLst/>
                      </a:prstGeom>
                      <a:noFill/>
                      <a:ln>
                        <a:noFill/>
                        <a:prstDash/>
                      </a:ln>
                    </wps:spPr>
                    <wps:txbx>
                      <w:txbxContent>
                        <w:p w:rsidR="00BD1A60" w:rsidRDefault="00067991">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Pr>
                              <w:rStyle w:val="Nmerodepgina"/>
                              <w:rFonts w:ascii="Arial" w:hAnsi="Arial"/>
                              <w:noProof/>
                              <w:color w:val="296D7A"/>
                              <w:sz w:val="18"/>
                            </w:rPr>
                            <w:t>2</w:t>
                          </w:r>
                          <w:r>
                            <w:rPr>
                              <w:rStyle w:val="Nmerodepgina"/>
                              <w:rFonts w:ascii="Arial" w:hAnsi="Arial"/>
                              <w:color w:val="296D7A"/>
                              <w:sz w:val="18"/>
                            </w:rPr>
                            <w:fldChar w:fldCharType="end"/>
                          </w:r>
                        </w:p>
                      </w:txbxContent>
                    </wps:txbx>
                    <wps:bodyPr vert="horz" wrap="square" lIns="0" tIns="0" rIns="0" bIns="0" anchor="t" anchorCtr="0" compatLnSpc="0"/>
                  </wps:wsp>
                </a:graphicData>
              </a:graphic>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520.85pt;margin-top:-15.5pt;width:53.2pt;height:18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" filled="f" stroked="f">
              <v:textbox inset="0,0,0,0">
                <w:txbxContent>
                  <w:p w:rsidR="00BD1A60" w:rsidRDefault="00067991">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Pr>
                        <w:rStyle w:val="Nmerodepgina"/>
                        <w:rFonts w:ascii="Arial" w:hAnsi="Arial"/>
                        <w:noProof/>
                        <w:color w:val="296D7A"/>
                        <w:sz w:val="18"/>
                      </w:rPr>
                      <w:t>2</w:t>
                    </w:r>
                    <w:r>
                      <w:rPr>
                        <w:rStyle w:val="Nmerodepgina"/>
                        <w:rFonts w:ascii="Arial" w:hAnsi="Arial"/>
                        <w:color w:val="296D7A"/>
                        <w:sz w:val="18"/>
                      </w:rPr>
                      <w:fldChar w:fldCharType="end"/>
                    </w:r>
                  </w:p>
                </w:txbxContent>
              </v:textbox>
              <w10:wrap type="square" anchorx="page"/>
            </v:shape>
          </w:pict>
        </mc:Fallback>
      </mc:AlternateContent>
    </w:r>
    <w:r>
      <w:rPr>
        <w:noProof/>
        <w:lang w:eastAsia="pt-BR"/>
      </w:rPr>
      <w:drawing>
        <wp:anchor distT="0" distB="0" distL="114300" distR="114300" simplePos="0" relativeHeight="251662336" behindDoc="1" locked="0" layoutInCell="1" allowOverlap="1">
          <wp:simplePos x="0" y="0"/>
          <wp:positionH relativeFrom="column">
            <wp:posOffset>-990596</wp:posOffset>
          </wp:positionH>
          <wp:positionV relativeFrom="paragraph">
            <wp:posOffset>-519434</wp:posOffset>
          </wp:positionV>
          <wp:extent cx="7547613" cy="1081406"/>
          <wp:effectExtent l="0" t="0" r="0" b="4444"/>
          <wp:wrapNone/>
          <wp:docPr id="3" name="Imagem 47" descr="CAU-BR-timbrado2015--rodap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547613" cy="1081406"/>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67991">
      <w:r>
        <w:rPr>
          <w:color w:val="000000"/>
        </w:rPr>
        <w:separator/>
      </w:r>
    </w:p>
  </w:footnote>
  <w:footnote w:type="continuationSeparator" w:id="0">
    <w:p w:rsidR="00000000" w:rsidRDefault="00067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A60" w:rsidRDefault="00067991">
    <w:pPr>
      <w:pStyle w:val="Cabealho"/>
      <w:tabs>
        <w:tab w:val="clear" w:pos="4320"/>
        <w:tab w:val="left" w:pos="2880"/>
        <w:tab w:val="left" w:pos="6120"/>
      </w:tabs>
      <w:ind w:left="587"/>
    </w:pPr>
    <w:r>
      <w:rPr>
        <w:noProof/>
        <w:lang w:eastAsia="pt-BR"/>
      </w:rPr>
      <w:drawing>
        <wp:anchor distT="0" distB="0" distL="114300" distR="114300" simplePos="0" relativeHeight="251659264" behindDoc="1" locked="0" layoutInCell="1" allowOverlap="1">
          <wp:simplePos x="0" y="0"/>
          <wp:positionH relativeFrom="column">
            <wp:posOffset>-1000755</wp:posOffset>
          </wp:positionH>
          <wp:positionV relativeFrom="paragraph">
            <wp:posOffset>-839474</wp:posOffset>
          </wp:positionV>
          <wp:extent cx="7559673" cy="1078233"/>
          <wp:effectExtent l="0" t="0" r="3177" b="7617"/>
          <wp:wrapNone/>
          <wp:docPr id="1" name="Imagem 48" descr="CAU-BR-timbrado2015--CE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559673" cy="107823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1531A"/>
    <w:multiLevelType w:val="multilevel"/>
    <w:tmpl w:val="C39823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F39C8"/>
    <w:rsid w:val="00067991"/>
    <w:rsid w:val="005F39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lang w:eastAsia="en-US"/>
    </w:rPr>
  </w:style>
  <w:style w:type="paragraph" w:styleId="Ttulo1">
    <w:name w:val="heading 1"/>
    <w:basedOn w:val="Normal"/>
    <w:next w:val="Normal"/>
    <w:pPr>
      <w:outlineLvl w:val="0"/>
    </w:pPr>
    <w:rPr>
      <w:rFonts w:ascii="Tahoma" w:eastAsia="Times New Roman" w:hAnsi="Tahoma" w:cs="Tahoma"/>
      <w:spacing w:val="4"/>
      <w:sz w:val="40"/>
      <w:szCs w:val="40"/>
      <w:lang w:val="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character" w:customStyle="1" w:styleId="CabealhoChar">
    <w:name w:val="Cabeçalho Char"/>
    <w:basedOn w:val="Fontepargpadro"/>
  </w:style>
  <w:style w:type="paragraph" w:styleId="Rodap">
    <w:name w:val="footer"/>
    <w:basedOn w:val="Normal"/>
    <w:pPr>
      <w:tabs>
        <w:tab w:val="center" w:pos="4320"/>
        <w:tab w:val="right" w:pos="8640"/>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character" w:customStyle="1" w:styleId="Ttulo1Char">
    <w:name w:val="Título 1 Char"/>
    <w:rPr>
      <w:rFonts w:ascii="Tahoma" w:eastAsia="Times New Roman" w:hAnsi="Tahoma" w:cs="Tahoma"/>
      <w:spacing w:val="4"/>
      <w:sz w:val="40"/>
      <w:szCs w:val="40"/>
      <w:lang w:val="en-GB" w:eastAsia="en-US"/>
    </w:rPr>
  </w:style>
  <w:style w:type="paragraph" w:customStyle="1" w:styleId="Default">
    <w:name w:val="Default"/>
    <w:pPr>
      <w:suppressAutoHyphens/>
      <w:autoSpaceDE w:val="0"/>
    </w:pPr>
    <w:rPr>
      <w:rFonts w:ascii="Calibri" w:eastAsia="Calibri" w:hAnsi="Calibri" w:cs="Calibri"/>
      <w:color w:val="000000"/>
      <w:sz w:val="24"/>
      <w:szCs w:val="24"/>
    </w:rPr>
  </w:style>
  <w:style w:type="paragraph" w:styleId="Recuodecorpodetexto">
    <w:name w:val="Body Text Indent"/>
    <w:basedOn w:val="Normal"/>
    <w:pPr>
      <w:ind w:left="708" w:firstLine="708"/>
      <w:jc w:val="both"/>
    </w:pPr>
    <w:rPr>
      <w:rFonts w:ascii="Times New Roman" w:eastAsia="Times New Roman" w:hAnsi="Times New Roman"/>
      <w:lang w:eastAsia="pt-BR"/>
    </w:rPr>
  </w:style>
  <w:style w:type="character" w:customStyle="1" w:styleId="RecuodecorpodetextoChar">
    <w:name w:val="Recuo de corpo de texto Char"/>
    <w:rPr>
      <w:rFonts w:ascii="Times New Roman" w:eastAsia="Times New Roman" w:hAnsi="Times New Roman"/>
      <w:sz w:val="24"/>
      <w:szCs w:val="24"/>
    </w:rPr>
  </w:style>
  <w:style w:type="paragraph" w:styleId="Textodenotaderodap">
    <w:name w:val="footnote text"/>
    <w:basedOn w:val="Normal"/>
    <w:rPr>
      <w:sz w:val="20"/>
      <w:szCs w:val="20"/>
    </w:rPr>
  </w:style>
  <w:style w:type="character" w:customStyle="1" w:styleId="TextodenotaderodapChar">
    <w:name w:val="Texto de nota de rodapé Char"/>
    <w:rPr>
      <w:lang w:eastAsia="en-US"/>
    </w:rPr>
  </w:style>
  <w:style w:type="character" w:styleId="Refdenotaderodap">
    <w:name w:val="footnote reference"/>
    <w:rPr>
      <w:position w:val="0"/>
      <w:vertAlign w:val="superscript"/>
    </w:rPr>
  </w:style>
  <w:style w:type="paragraph" w:styleId="PargrafodaLista">
    <w:name w:val="List Paragraph"/>
    <w:basedOn w:val="Normal"/>
    <w:pPr>
      <w:ind w:left="708"/>
    </w:pPr>
  </w:style>
  <w:style w:type="paragraph" w:styleId="Textodebalo">
    <w:name w:val="Balloon Text"/>
    <w:basedOn w:val="Normal"/>
    <w:rPr>
      <w:rFonts w:ascii="Tahoma" w:hAnsi="Tahoma" w:cs="Tahoma"/>
      <w:sz w:val="16"/>
      <w:szCs w:val="16"/>
    </w:rPr>
  </w:style>
  <w:style w:type="character" w:customStyle="1" w:styleId="TextodebaloChar">
    <w:name w:val="Texto de balão Char"/>
    <w:rPr>
      <w:rFonts w:ascii="Tahoma" w:hAnsi="Tahoma" w:cs="Tahoma"/>
      <w:sz w:val="16"/>
      <w:szCs w:val="16"/>
      <w:lang w:eastAsia="en-US"/>
    </w:rPr>
  </w:style>
  <w:style w:type="paragraph" w:customStyle="1" w:styleId="texto1">
    <w:name w:val="texto1"/>
    <w:basedOn w:val="Normal"/>
    <w:pPr>
      <w:spacing w:before="100" w:after="100"/>
    </w:pPr>
    <w:rPr>
      <w:rFonts w:ascii="Times New Roman" w:eastAsia="Times New Roman" w:hAnsi="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lang w:eastAsia="en-US"/>
    </w:rPr>
  </w:style>
  <w:style w:type="paragraph" w:styleId="Ttulo1">
    <w:name w:val="heading 1"/>
    <w:basedOn w:val="Normal"/>
    <w:next w:val="Normal"/>
    <w:pPr>
      <w:outlineLvl w:val="0"/>
    </w:pPr>
    <w:rPr>
      <w:rFonts w:ascii="Tahoma" w:eastAsia="Times New Roman" w:hAnsi="Tahoma" w:cs="Tahoma"/>
      <w:spacing w:val="4"/>
      <w:sz w:val="40"/>
      <w:szCs w:val="40"/>
      <w:lang w:val="en-G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character" w:customStyle="1" w:styleId="CabealhoChar">
    <w:name w:val="Cabeçalho Char"/>
    <w:basedOn w:val="Fontepargpadro"/>
  </w:style>
  <w:style w:type="paragraph" w:styleId="Rodap">
    <w:name w:val="footer"/>
    <w:basedOn w:val="Normal"/>
    <w:pPr>
      <w:tabs>
        <w:tab w:val="center" w:pos="4320"/>
        <w:tab w:val="right" w:pos="8640"/>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character" w:customStyle="1" w:styleId="Ttulo1Char">
    <w:name w:val="Título 1 Char"/>
    <w:rPr>
      <w:rFonts w:ascii="Tahoma" w:eastAsia="Times New Roman" w:hAnsi="Tahoma" w:cs="Tahoma"/>
      <w:spacing w:val="4"/>
      <w:sz w:val="40"/>
      <w:szCs w:val="40"/>
      <w:lang w:val="en-GB" w:eastAsia="en-US"/>
    </w:rPr>
  </w:style>
  <w:style w:type="paragraph" w:customStyle="1" w:styleId="Default">
    <w:name w:val="Default"/>
    <w:pPr>
      <w:suppressAutoHyphens/>
      <w:autoSpaceDE w:val="0"/>
    </w:pPr>
    <w:rPr>
      <w:rFonts w:ascii="Calibri" w:eastAsia="Calibri" w:hAnsi="Calibri" w:cs="Calibri"/>
      <w:color w:val="000000"/>
      <w:sz w:val="24"/>
      <w:szCs w:val="24"/>
    </w:rPr>
  </w:style>
  <w:style w:type="paragraph" w:styleId="Recuodecorpodetexto">
    <w:name w:val="Body Text Indent"/>
    <w:basedOn w:val="Normal"/>
    <w:pPr>
      <w:ind w:left="708" w:firstLine="708"/>
      <w:jc w:val="both"/>
    </w:pPr>
    <w:rPr>
      <w:rFonts w:ascii="Times New Roman" w:eastAsia="Times New Roman" w:hAnsi="Times New Roman"/>
      <w:lang w:eastAsia="pt-BR"/>
    </w:rPr>
  </w:style>
  <w:style w:type="character" w:customStyle="1" w:styleId="RecuodecorpodetextoChar">
    <w:name w:val="Recuo de corpo de texto Char"/>
    <w:rPr>
      <w:rFonts w:ascii="Times New Roman" w:eastAsia="Times New Roman" w:hAnsi="Times New Roman"/>
      <w:sz w:val="24"/>
      <w:szCs w:val="24"/>
    </w:rPr>
  </w:style>
  <w:style w:type="paragraph" w:styleId="Textodenotaderodap">
    <w:name w:val="footnote text"/>
    <w:basedOn w:val="Normal"/>
    <w:rPr>
      <w:sz w:val="20"/>
      <w:szCs w:val="20"/>
    </w:rPr>
  </w:style>
  <w:style w:type="character" w:customStyle="1" w:styleId="TextodenotaderodapChar">
    <w:name w:val="Texto de nota de rodapé Char"/>
    <w:rPr>
      <w:lang w:eastAsia="en-US"/>
    </w:rPr>
  </w:style>
  <w:style w:type="character" w:styleId="Refdenotaderodap">
    <w:name w:val="footnote reference"/>
    <w:rPr>
      <w:position w:val="0"/>
      <w:vertAlign w:val="superscript"/>
    </w:rPr>
  </w:style>
  <w:style w:type="paragraph" w:styleId="PargrafodaLista">
    <w:name w:val="List Paragraph"/>
    <w:basedOn w:val="Normal"/>
    <w:pPr>
      <w:ind w:left="708"/>
    </w:pPr>
  </w:style>
  <w:style w:type="paragraph" w:styleId="Textodebalo">
    <w:name w:val="Balloon Text"/>
    <w:basedOn w:val="Normal"/>
    <w:rPr>
      <w:rFonts w:ascii="Tahoma" w:hAnsi="Tahoma" w:cs="Tahoma"/>
      <w:sz w:val="16"/>
      <w:szCs w:val="16"/>
    </w:rPr>
  </w:style>
  <w:style w:type="character" w:customStyle="1" w:styleId="TextodebaloChar">
    <w:name w:val="Texto de balão Char"/>
    <w:rPr>
      <w:rFonts w:ascii="Tahoma" w:hAnsi="Tahoma" w:cs="Tahoma"/>
      <w:sz w:val="16"/>
      <w:szCs w:val="16"/>
      <w:lang w:eastAsia="en-US"/>
    </w:rPr>
  </w:style>
  <w:style w:type="paragraph" w:customStyle="1" w:styleId="texto1">
    <w:name w:val="texto1"/>
    <w:basedOn w:val="Normal"/>
    <w:pPr>
      <w:spacing w:before="100" w:after="100"/>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4352</Characters>
  <Application>Microsoft Office Word</Application>
  <DocSecurity>0</DocSecurity>
  <Lines>36</Lines>
  <Paragraphs>10</Paragraphs>
  <ScaleCrop>false</ScaleCrop>
  <Company>Hewlett-Packard Company</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Ana Carolina Alcantara Ayres</cp:lastModifiedBy>
  <cp:revision>2</cp:revision>
  <cp:lastPrinted>2018-06-08T13:46:00Z</cp:lastPrinted>
  <dcterms:created xsi:type="dcterms:W3CDTF">2019-07-18T19:26:00Z</dcterms:created>
  <dcterms:modified xsi:type="dcterms:W3CDTF">2019-07-18T19:26:00Z</dcterms:modified>
</cp:coreProperties>
</file>