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841C2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41C2E" w:rsidRDefault="00272C6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41C2E" w:rsidRDefault="00272C6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673248/2018</w:t>
            </w:r>
          </w:p>
        </w:tc>
      </w:tr>
      <w:tr w:rsidR="00841C2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41C2E" w:rsidRDefault="00272C6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41C2E" w:rsidRDefault="00272C69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CAU/SP e CEF-CAU/BR </w:t>
            </w:r>
          </w:p>
        </w:tc>
      </w:tr>
      <w:tr w:rsidR="00841C2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41C2E" w:rsidRDefault="00272C6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41C2E" w:rsidRDefault="00272C69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Consulta acerca da regularidade e reconhecimento do curso de Arquitetura e Urbanismo de número 1304844 da UNIVERSIDADE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ANHANGUERA DE SÃO PAULO</w:t>
            </w:r>
          </w:p>
        </w:tc>
      </w:tr>
    </w:tbl>
    <w:p w:rsidR="00841C2E" w:rsidRDefault="00272C6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033/2018 – CEF-CAU/BR</w:t>
      </w:r>
    </w:p>
    <w:p w:rsidR="00841C2E" w:rsidRDefault="00272C6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12 e 13 de abril de 2018, no uso das competências que lhe conferem o art. 99 do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egimento Interno do CAU/BR, após análise do assunto em epígrafe, e</w:t>
      </w:r>
    </w:p>
    <w:p w:rsidR="00841C2E" w:rsidRDefault="00272C69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art. 6º da Lei 12.378, de 31 de dezembro de 2010, determina que são requisitos para o registro capacidade civil e diploma de graduação em arquitetura e urbanismo, obtido </w:t>
      </w:r>
      <w:r>
        <w:rPr>
          <w:sz w:val="22"/>
          <w:szCs w:val="22"/>
        </w:rPr>
        <w:t>em instituição de ensino superior oficialmente reconhecida (grifo nosso) pelo poder público;</w:t>
      </w:r>
    </w:p>
    <w:p w:rsidR="00841C2E" w:rsidRDefault="00272C69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o Decreto nº 9.235, de 15 de dezembro de 2017, que dispõe sobre o exercício das funções de regulação, supervisão e avaliação das instituições de educa</w:t>
      </w:r>
      <w:r>
        <w:rPr>
          <w:sz w:val="22"/>
          <w:szCs w:val="22"/>
        </w:rPr>
        <w:t>ção superior e dos cursos superiores de graduação e de pós-graduação no sistema federal de ensino, que no seu artigo 45 determina que o reconhecimento e o registro de curso são condições necessárias à validade nacional dos diplomas (grifo nosso);</w:t>
      </w:r>
    </w:p>
    <w:p w:rsidR="00841C2E" w:rsidRDefault="00272C69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</w:t>
      </w:r>
      <w:r>
        <w:rPr>
          <w:sz w:val="22"/>
          <w:szCs w:val="22"/>
        </w:rPr>
        <w:t>ndo que o artigo 46 Decreto nº 9235/2017 determina que a instituição protocolará pedido de reconhecimento de curso no período compreendido entre cinquenta por cento do prazo previsto para integralização de sua carga horária e setenta e cinco por cento dess</w:t>
      </w:r>
      <w:r>
        <w:rPr>
          <w:sz w:val="22"/>
          <w:szCs w:val="22"/>
        </w:rPr>
        <w:t>e prazo (grifo nosso), observado o calendário definido pelo Ministério da Educação, determinação reiterada pelo art. 31 da Portaria Normativa MEC nº 23/2017, de 21 de dezembro de 2017;</w:t>
      </w:r>
    </w:p>
    <w:p w:rsidR="00841C2E" w:rsidRDefault="00272C69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 art. 101 da Portaria Normativa MEC nº 23/2017, de 21 de </w:t>
      </w:r>
      <w:r>
        <w:rPr>
          <w:sz w:val="22"/>
          <w:szCs w:val="22"/>
        </w:rPr>
        <w:t>dezembro de 2017, que dispõe que os cursos cujos pedidos de reconhecimento tenham sido protocolados dentro do prazo e não tenham sido concluídos até a data de conclusão da primeira turma consideram-se reconhecidos, exclusivamente para fins de expedição e r</w:t>
      </w:r>
      <w:r>
        <w:rPr>
          <w:sz w:val="22"/>
          <w:szCs w:val="22"/>
        </w:rPr>
        <w:t xml:space="preserve">egistro de diplomas, e em seu parágrafo único dispõe que a instituição poderá se utilizar da prerrogativa prevista no caput enquanto não for proferida a decisão definitiva no processo de reconhecimento, tendo como referencial a avaliação externa in loco. </w:t>
      </w:r>
    </w:p>
    <w:p w:rsidR="00841C2E" w:rsidRDefault="00272C69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Decreto nº 9.235, de 15 de dezembro de 2017, em seu art. 72 considera irregularidade administrativa, passíveis de aplicação de penalidades, a prestação de informações falsas ao Ministério da Educação e omissão ou distorção de dados forne</w:t>
      </w:r>
      <w:r>
        <w:rPr>
          <w:sz w:val="22"/>
          <w:szCs w:val="22"/>
        </w:rPr>
        <w:t xml:space="preserve">cidos aos cadastros e sistemas oficiais da educação superior, especialmente o Cadastro Nacional de Cursos e Instituições de Educação Superior - Cadastro e-MEC; e que conforme art. 103 as IES, independentemente do seu sistema de ensino, manterão seus dados </w:t>
      </w:r>
      <w:r>
        <w:rPr>
          <w:sz w:val="22"/>
          <w:szCs w:val="22"/>
        </w:rPr>
        <w:t>atualizados junto ao Cadastro e-MEC, mantido pelo Ministério da Educação;</w:t>
      </w:r>
    </w:p>
    <w:p w:rsidR="00841C2E" w:rsidRDefault="00272C69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as Deliberações 63/2015, 64/2015, 65/2015, 001/2018 e 002/2018 CEF-CAU/BR que aprovam metodologias para Cálculo de Tempestividade e Cadastro de Cursos no CAU/BR;</w:t>
      </w:r>
    </w:p>
    <w:p w:rsidR="00841C2E" w:rsidRDefault="00272C69">
      <w:pPr>
        <w:pStyle w:val="Default"/>
        <w:jc w:val="both"/>
      </w:pPr>
      <w:r>
        <w:rPr>
          <w:rFonts w:ascii="Times New Roman" w:eastAsia="Times New Roman" w:hAnsi="Times New Roman"/>
          <w:sz w:val="22"/>
          <w:szCs w:val="22"/>
        </w:rPr>
        <w:t>Conside</w:t>
      </w:r>
      <w:r>
        <w:rPr>
          <w:rFonts w:ascii="Times New Roman" w:eastAsia="Times New Roman" w:hAnsi="Times New Roman"/>
          <w:sz w:val="22"/>
          <w:szCs w:val="22"/>
        </w:rPr>
        <w:t xml:space="preserve">rando o Memorando 006/2018 CEF-CAU/SP que encaminha consulta do CAU/SP acerca da possibilidade de registro de egresso do curso 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de Arquitetura e Urbanismo de número 1304844 da UNIVERSIDADE ANHANGUERA DE SÃO PAULO, com histórico escolar emitido no ano de 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2011; </w:t>
      </w:r>
    </w:p>
    <w:p w:rsidR="00841C2E" w:rsidRDefault="00841C2E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841C2E" w:rsidRDefault="00841C2E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:rsidR="00841C2E" w:rsidRDefault="00272C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§2º do art. 61 da lei 12378/2010, que determina a articulação do CAU/BR com as Comissões de Ensino e Formação dos CAUs/UFs por intermédio do conselheiro federal representante das instituições de ensino superior (IES).</w:t>
      </w:r>
    </w:p>
    <w:p w:rsidR="00841C2E" w:rsidRDefault="00841C2E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841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E" w:rsidRDefault="00272C6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841C2E" w:rsidRDefault="00841C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41C2E" w:rsidRDefault="00272C69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clarecer ao CAU/SP quanto ao item “a” que conforme consta do sistema eMEC (anexo), o curso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curso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Arquitetura e Urbanismo de número 1304844 da UNIVERSIDADE ANHANGUERA DE SÃO PAULO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ainda não foi iniciado, tendo sido autorizado no ano de 2014 por meio da P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ortaria 10 de 01/09/2014 (anexo), e que até o momento não existe protocolado processo de reconhecimento do curso, e desta forma, não poderia ter formado egressos no ano de 2011, sendo que o egresso não pode ser registrado com base no documento apresentado;</w:t>
            </w:r>
          </w:p>
          <w:p w:rsidR="00841C2E" w:rsidRDefault="00841C2E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41C2E" w:rsidRDefault="00272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 CAU/SP, quanto ao item “b”, a oficiar a IES acerca de possível equívoco na emissão do documento, buscando informações adicionais, verificando paralelamente indícios de falsificação de documentação, para posterior encaminhamento ao MEC, uma vez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 não consta informação no sistema eMEC acerca da extinção de curso de mesmo número; </w:t>
            </w:r>
          </w:p>
          <w:p w:rsidR="00841C2E" w:rsidRDefault="00841C2E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41C2E" w:rsidRDefault="00272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ao CAU/SP quanto ao item “c” da consulta que a CEF-CAU/BR aguardo retorno da Assessoria Jurídica do CAU/BR quanto a solicitação efetuada por meio da Delibe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ração 006/2018 CEF-CAU/BR para orientação aos CAU/UF;</w:t>
            </w:r>
          </w:p>
          <w:p w:rsidR="00841C2E" w:rsidRDefault="00841C2E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41C2E" w:rsidRDefault="00272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Oficiar o CAU/SP encaminhando esta deliberação em resposta ao Memorando CEF CAU/SP nº 006/2018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</w:tc>
      </w:tr>
      <w:tr w:rsidR="00841C2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E" w:rsidRDefault="00841C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841C2E" w:rsidRDefault="00272C69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13 de abril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41C2E" w:rsidRDefault="00841C2E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841C2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E" w:rsidRDefault="00272C6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841C2E" w:rsidRDefault="00272C69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841C2E" w:rsidRDefault="00841C2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E" w:rsidRDefault="00272C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1C2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E" w:rsidRDefault="00272C69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 xml:space="preserve">Hélio </w:t>
            </w:r>
            <w:r>
              <w:t>Cavalcanti da Costa Lima</w:t>
            </w:r>
            <w:r>
              <w:fldChar w:fldCharType="end"/>
            </w:r>
          </w:p>
          <w:p w:rsidR="00841C2E" w:rsidRDefault="00272C69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841C2E" w:rsidRDefault="00841C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E" w:rsidRDefault="00272C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1C2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E" w:rsidRDefault="00272C69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841C2E" w:rsidRDefault="00272C69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841C2E" w:rsidRDefault="00841C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E" w:rsidRDefault="00272C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1C2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E" w:rsidRDefault="00272C69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</w:t>
            </w:r>
            <w:r>
              <w:t>oselia da Silva Alves</w:t>
            </w:r>
            <w:r>
              <w:fldChar w:fldCharType="end"/>
            </w:r>
          </w:p>
          <w:p w:rsidR="00841C2E" w:rsidRDefault="00272C69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841C2E" w:rsidRDefault="00841C2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E" w:rsidRDefault="00272C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1C2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E" w:rsidRDefault="00272C69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841C2E" w:rsidRDefault="00272C69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841C2E" w:rsidRDefault="00841C2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E" w:rsidRDefault="00272C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1C2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E" w:rsidRDefault="00272C69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 xml:space="preserve">Roseana </w:t>
            </w:r>
            <w:r>
              <w:t>Almeida Vasconcelos</w:t>
            </w:r>
            <w:r>
              <w:fldChar w:fldCharType="end"/>
            </w:r>
          </w:p>
          <w:p w:rsidR="00841C2E" w:rsidRDefault="00272C69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E" w:rsidRDefault="00272C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272C69">
      <w:pPr>
        <w:sectPr w:rsidR="00000000">
          <w:headerReference w:type="default" r:id="rId8"/>
          <w:footerReference w:type="default" r:id="rId9"/>
          <w:pgSz w:w="11900" w:h="16840"/>
          <w:pgMar w:top="1985" w:right="1128" w:bottom="1559" w:left="1559" w:header="1327" w:footer="584" w:gutter="0"/>
          <w:cols w:space="720"/>
        </w:sectPr>
      </w:pPr>
    </w:p>
    <w:p w:rsidR="00841C2E" w:rsidRDefault="00841C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1C2E" w:rsidRDefault="00272C69">
      <w:pPr>
        <w:tabs>
          <w:tab w:val="left" w:pos="5209"/>
        </w:tabs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ANEXO</w:t>
      </w:r>
    </w:p>
    <w:p w:rsidR="00841C2E" w:rsidRDefault="00272C69">
      <w:pPr>
        <w:tabs>
          <w:tab w:val="left" w:pos="5209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5613401" cy="3903975"/>
            <wp:effectExtent l="0" t="0" r="6349" b="1275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1" cy="390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1C2E" w:rsidRDefault="00272C69">
      <w:pPr>
        <w:tabs>
          <w:tab w:val="left" w:pos="5209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5613401" cy="3514725"/>
            <wp:effectExtent l="0" t="0" r="6349" b="9525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1" cy="3514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41C2E">
      <w:headerReference w:type="default" r:id="rId12"/>
      <w:footerReference w:type="default" r:id="rId13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2C69">
      <w:r>
        <w:separator/>
      </w:r>
    </w:p>
  </w:endnote>
  <w:endnote w:type="continuationSeparator" w:id="0">
    <w:p w:rsidR="00000000" w:rsidRDefault="0027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9C" w:rsidRDefault="00272C69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5C399C" w:rsidRDefault="00272C6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5C399C" w:rsidRDefault="00272C6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9C" w:rsidRDefault="00272C69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5C399C" w:rsidRDefault="00272C6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520.85pt;margin-top:-15.5pt;width:53.3pt;height:18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dtUYWp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5C399C" w:rsidRDefault="00272C6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3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2C69">
      <w:r>
        <w:rPr>
          <w:color w:val="000000"/>
        </w:rPr>
        <w:separator/>
      </w:r>
    </w:p>
  </w:footnote>
  <w:footnote w:type="continuationSeparator" w:id="0">
    <w:p w:rsidR="00000000" w:rsidRDefault="0027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9C" w:rsidRDefault="00272C6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9C" w:rsidRDefault="00272C6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10AF"/>
    <w:multiLevelType w:val="multilevel"/>
    <w:tmpl w:val="6F7EB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1C2E"/>
    <w:rsid w:val="00272C69"/>
    <w:rsid w:val="0084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4765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2019-07-18T19:09:00Z</dcterms:created>
  <dcterms:modified xsi:type="dcterms:W3CDTF">2019-07-18T19:09:00Z</dcterms:modified>
</cp:coreProperties>
</file>