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B5079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0799" w:rsidRDefault="000F54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0799" w:rsidRDefault="000F545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5079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0799" w:rsidRDefault="000F54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0799" w:rsidRDefault="000F5456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5079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0799" w:rsidRDefault="000F54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 envio ao Plenário de alteração da Resolução CAU/BR 18/2012 </w:t>
            </w:r>
          </w:p>
        </w:tc>
      </w:tr>
    </w:tbl>
    <w:p w:rsidR="00B50799" w:rsidRDefault="000F545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021/2018 – CEF-CAU/BR</w:t>
      </w:r>
    </w:p>
    <w:p w:rsidR="00B50799" w:rsidRDefault="000F545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 CEF-CAU/BR, reunida ordinariamente em Brasília-DF, na sede do CAU/BR, nos dias 08 e 09 de março de 2018, no uso das competências que lhe conferem o art. 99 do Regimento Interno do CAU/BR, após análise do assunto em epígrafe, e</w:t>
      </w:r>
    </w:p>
    <w:p w:rsidR="00B50799" w:rsidRDefault="000F545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</w:t>
      </w:r>
      <w:r>
        <w:rPr>
          <w:sz w:val="22"/>
          <w:szCs w:val="22"/>
        </w:rPr>
        <w:t>da Lei 12.378, de 31 de dezembro de 2010, determina que são requisitos para o registro capacidade civil e diploma de graduação em arquitetura e urbanismo, obtido em instituição de ensino superior oficialmente reconhecida pelo poder público;</w:t>
      </w:r>
    </w:p>
    <w:p w:rsidR="00B50799" w:rsidRDefault="000F545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</w:t>
      </w:r>
      <w:r>
        <w:rPr>
          <w:sz w:val="22"/>
          <w:szCs w:val="22"/>
        </w:rPr>
        <w:t>art. 5º da Resolução nº 18, de 2 de março de 2012, alterado pelas Resoluções nº 32/2012 e nº 85/2014, que determina em seus §§ 2º e 2º-A que quando apresentado o certificado de conclusão de curso no requerimento de registro profissional, o registro será fe</w:t>
      </w:r>
      <w:r>
        <w:rPr>
          <w:sz w:val="22"/>
          <w:szCs w:val="22"/>
        </w:rPr>
        <w:t>ito em caráter provisório com validade máxima de um ano e que o prazo de registro provisório antecedente poderá ser prorrogado por até igual período mediante requerimento do interessado, apresentando justificativa para a não apresentação do diploma de grad</w:t>
      </w:r>
      <w:r>
        <w:rPr>
          <w:sz w:val="22"/>
          <w:szCs w:val="22"/>
        </w:rPr>
        <w:t>uação devidamente registrado;</w:t>
      </w:r>
    </w:p>
    <w:p w:rsidR="00B50799" w:rsidRDefault="000F545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fato gerador do prazo para emissão do diploma pela IES é o ato de colação de grau, conforme expresso nos considerandos da Resolução nº 85, de 15 de agosto de 2014, onde se justifica o registro provisório ant</w:t>
      </w:r>
      <w:r>
        <w:rPr>
          <w:sz w:val="22"/>
          <w:szCs w:val="22"/>
        </w:rPr>
        <w:t>e o tempo despendido para as instituições de ensino superior não-universitárias expedirem os diplomas de graduação e para as universidades credenciadas promoverem o registro dos diplomas;</w:t>
      </w:r>
    </w:p>
    <w:p w:rsidR="00B50799" w:rsidRDefault="000F545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99 do Regimento Interno do CAU/BR, aprovado </w:t>
      </w:r>
      <w:r>
        <w:rPr>
          <w:sz w:val="22"/>
          <w:szCs w:val="22"/>
        </w:rPr>
        <w:t>pela Resolução CAU/BR nº 139/2017, determina que compete a Comissão de Ensino e Formação CEF-CAU/BR propor, apreciar e deliberar sobre atos normativos de ensino e formação referentes ao Cadastro Nacional dos Cursos de Arquitetura e Urbanismo;</w:t>
      </w:r>
    </w:p>
    <w:p w:rsidR="00B50799" w:rsidRDefault="000F545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>
        <w:rPr>
          <w:sz w:val="22"/>
          <w:szCs w:val="22"/>
        </w:rPr>
        <w:t>as competências previstas na Resolução CAU/BR nº 139/2017, que determina que compete a Comissão de Ensino e Formação do CAU/UF instruir, apreciar e deliberar, sobre requerimentos de registros de profissionais portadores de diplomas de graduação em Arquitet</w:t>
      </w:r>
      <w:r>
        <w:rPr>
          <w:sz w:val="22"/>
          <w:szCs w:val="22"/>
        </w:rPr>
        <w:t xml:space="preserve">ura e Urbanismo, obtidos em instituições brasileiras de ensino superior com cursos oficialmente reconhecidos pelo poder público, encaminhando-os ao Plenário em caso de indeferimento; </w:t>
      </w:r>
    </w:p>
    <w:p w:rsidR="00B50799" w:rsidRDefault="000F54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os temas em tela já foram analisados pela CEF-CAU/BR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ocasião da elaboração do Anteprojeto de Compilação de Resoluções de Registro, conforme Deliberação 106/2017 CEF-CAU/BR, em tramitação no âmbito do CAU/BR, porém, que existe a necessidade de esclarecimentos e orientação aos CAU/UF até a publicação de nova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Resolução; e</w:t>
      </w:r>
    </w:p>
    <w:p w:rsidR="00B50799" w:rsidRDefault="00B507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0799" w:rsidRDefault="000F545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005/2018 CEF-CAU/BR que esclarece que o registro em caráter provisório terá validade máxima de um ano contado a partir da data da colação de grau informada no certificado de conclusão de curso emitido pela instituiç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ão, prorrogável por igual período mediante requerimento do interessado nos termos do art. 5º, §2º-A da Resolução nº 18/2012 e que ao referido requerimento de que deverá ser anexada a solicitação de diploma protocolada junto a Instituição de Ensino;</w:t>
      </w:r>
    </w:p>
    <w:p w:rsidR="00B50799" w:rsidRDefault="00B507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0799" w:rsidRDefault="00B507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B507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50799" w:rsidRDefault="00B507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50799" w:rsidRDefault="000F54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projeto de Resolução em anexo, que altera o Art. 5º da Resolução CAU/BR 18/2012, alterado pelas Resoluções CAU/BR 32/2012 e 85/2014 e dá outras providências; </w:t>
            </w:r>
          </w:p>
          <w:p w:rsidR="00B50799" w:rsidRDefault="00B507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50799" w:rsidRDefault="000F54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Presidência do CAU/BR que encaminhe ao Plenário do CAU/BR o pro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jeto de Resolução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em Anexo. </w:t>
            </w:r>
          </w:p>
          <w:p w:rsidR="00B50799" w:rsidRDefault="00B50799">
            <w:pPr>
              <w:jc w:val="both"/>
              <w:rPr>
                <w:rFonts w:ascii="Times New Roman" w:hAnsi="Times New Roman"/>
                <w:i/>
                <w:iCs/>
              </w:rPr>
            </w:pPr>
          </w:p>
          <w:p w:rsidR="00B50799" w:rsidRDefault="00B50799">
            <w:pPr>
              <w:tabs>
                <w:tab w:val="left" w:pos="4651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B50799" w:rsidRDefault="000F5456">
      <w:pPr>
        <w:jc w:val="center"/>
      </w:pPr>
      <w:r>
        <w:lastRenderedPageBreak/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09 de março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50799" w:rsidRDefault="00B507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0799" w:rsidRDefault="00B50799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B5079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HÉlio Cavalcanti da Costa Lima</w:t>
            </w:r>
          </w:p>
          <w:p w:rsidR="00B50799" w:rsidRDefault="000F5456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em exercício</w:t>
            </w:r>
          </w:p>
          <w:p w:rsidR="00B50799" w:rsidRDefault="00B5079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5079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Carlos Correia</w:t>
            </w:r>
          </w:p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50799" w:rsidRDefault="00B507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5079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50799" w:rsidRDefault="00B507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5079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50799" w:rsidRDefault="00B507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5079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B50799" w:rsidRDefault="000F5456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50799" w:rsidRDefault="00B5079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5079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B50799" w:rsidRDefault="000F5456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99" w:rsidRDefault="000F54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0F5456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B50799" w:rsidRDefault="000F5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ANEXO I</w:t>
      </w:r>
    </w:p>
    <w:p w:rsidR="00B50799" w:rsidRDefault="00B50799">
      <w:pPr>
        <w:jc w:val="center"/>
        <w:rPr>
          <w:rFonts w:ascii="Times New Roman" w:hAnsi="Times New Roman"/>
          <w:b/>
        </w:rPr>
      </w:pPr>
    </w:p>
    <w:p w:rsidR="00B50799" w:rsidRDefault="000F5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RESOLUÇÃO N° XX, DE XX DE XXX DE 2018</w:t>
      </w:r>
    </w:p>
    <w:p w:rsidR="00B50799" w:rsidRDefault="00B50799">
      <w:pPr>
        <w:jc w:val="center"/>
        <w:rPr>
          <w:rFonts w:ascii="Times New Roman" w:hAnsi="Times New Roman"/>
          <w:b/>
        </w:rPr>
      </w:pPr>
    </w:p>
    <w:p w:rsidR="00B50799" w:rsidRDefault="000F545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Altera a Resolução CAU/BR n° 18, que trata dos registros definitivos e temporários de</w:t>
      </w:r>
      <w:r>
        <w:rPr>
          <w:rFonts w:ascii="Times New Roman" w:hAnsi="Times New Roman"/>
        </w:rPr>
        <w:t xml:space="preserve"> profissionais no Conselho de Arquitetura e Urbanismo, regula o registro provisório e dá outras providências.</w:t>
      </w:r>
    </w:p>
    <w:p w:rsidR="00B50799" w:rsidRDefault="00B50799">
      <w:pPr>
        <w:rPr>
          <w:rFonts w:ascii="Times New Roman" w:hAnsi="Times New Roman"/>
        </w:rPr>
      </w:pPr>
    </w:p>
    <w:p w:rsidR="00B50799" w:rsidRDefault="000F5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CONSELHO DE ARQUITETURA E URBANISMO DO BRASIL (CAU/BR), no exercício das competências e prerrogativas de que tratam o art. 28 da Lei n° 12.378,</w:t>
      </w:r>
      <w:r>
        <w:rPr>
          <w:rFonts w:ascii="Times New Roman" w:hAnsi="Times New Roman"/>
        </w:rPr>
        <w:t xml:space="preserve"> de 31 de dezembro de 2010, e os artigos 2°, 4° e 30 do Regimento Interno aprovado pela Deliberação Plenária Ordinária DPOBR n° 0065-05/2017, de 28 de abril de 2017, e instituído pela Resolução CAU/BR n° 139, de 28 de abril de 2017, e de acordo com a delib</w:t>
      </w:r>
      <w:r>
        <w:rPr>
          <w:rFonts w:ascii="Times New Roman" w:hAnsi="Times New Roman"/>
        </w:rPr>
        <w:t>eração adotada na Reunião Plenária Ordinária n° XX, realizada nos dias XX e XX de março de 2018;</w:t>
      </w:r>
    </w:p>
    <w:p w:rsidR="00B50799" w:rsidRDefault="00B50799">
      <w:pPr>
        <w:jc w:val="both"/>
        <w:rPr>
          <w:rFonts w:ascii="Times New Roman" w:eastAsia="Times New Roman" w:hAnsi="Times New Roman"/>
          <w:lang w:eastAsia="pt-BR"/>
        </w:rPr>
      </w:pPr>
    </w:p>
    <w:p w:rsidR="00B50799" w:rsidRDefault="000F5456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Deliberação 021/2018 da Comissão de Ensino e Formação do CAU/BR que aprova o projeto de Resolução que altera o Art. 5º da Resolução CAU/BR 18/2</w:t>
      </w:r>
      <w:r>
        <w:rPr>
          <w:rFonts w:ascii="Times New Roman" w:eastAsia="Times New Roman" w:hAnsi="Times New Roman"/>
          <w:lang w:eastAsia="pt-BR"/>
        </w:rPr>
        <w:t>012, alterado pelas Resoluções CAU/BR 32/2012 e 85/2014; e</w:t>
      </w:r>
    </w:p>
    <w:p w:rsidR="00B50799" w:rsidRDefault="00B50799">
      <w:pPr>
        <w:jc w:val="both"/>
        <w:rPr>
          <w:rFonts w:ascii="Times New Roman" w:eastAsia="Times New Roman" w:hAnsi="Times New Roman"/>
          <w:lang w:eastAsia="pt-BR"/>
        </w:rPr>
      </w:pPr>
    </w:p>
    <w:p w:rsidR="00B50799" w:rsidRDefault="000F5456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a necessidade de aprimorar esta resolução; </w:t>
      </w:r>
    </w:p>
    <w:p w:rsidR="00B50799" w:rsidRDefault="00B50799">
      <w:pPr>
        <w:jc w:val="both"/>
        <w:rPr>
          <w:rFonts w:ascii="Times New Roman" w:eastAsia="Times New Roman" w:hAnsi="Times New Roman"/>
          <w:lang w:eastAsia="pt-BR"/>
        </w:rPr>
      </w:pPr>
    </w:p>
    <w:p w:rsidR="00B50799" w:rsidRDefault="000F5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B50799" w:rsidRDefault="00B50799">
      <w:pPr>
        <w:jc w:val="both"/>
        <w:rPr>
          <w:rFonts w:ascii="Times New Roman" w:hAnsi="Times New Roman"/>
        </w:rPr>
      </w:pPr>
    </w:p>
    <w:p w:rsidR="00B50799" w:rsidRDefault="000F5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1° A Resolução CAU/BR n° 18, de 2 de março de 2012, alterada pela Resolução CAU/BR nº 32, de 2 de agosto de 2012 e pela Res</w:t>
      </w:r>
      <w:r>
        <w:rPr>
          <w:rFonts w:ascii="Times New Roman" w:hAnsi="Times New Roman"/>
        </w:rPr>
        <w:t>olução CAU/BR nº 85, de 15 de agosto de 2014 passa a vigorar com as seguintes alterações:</w:t>
      </w:r>
    </w:p>
    <w:p w:rsidR="00B50799" w:rsidRDefault="00B50799">
      <w:pPr>
        <w:ind w:firstLine="708"/>
        <w:jc w:val="both"/>
        <w:rPr>
          <w:rFonts w:ascii="Times New Roman" w:hAnsi="Times New Roman"/>
        </w:rPr>
      </w:pPr>
    </w:p>
    <w:p w:rsidR="00B50799" w:rsidRDefault="000F5456">
      <w:pPr>
        <w:pStyle w:val="Default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“Art. 5° ..........................................................................................................................</w:t>
      </w:r>
    </w:p>
    <w:p w:rsidR="00B50799" w:rsidRDefault="000F5456">
      <w:pPr>
        <w:pStyle w:val="Default"/>
        <w:ind w:left="708"/>
        <w:jc w:val="both"/>
      </w:pPr>
      <w:r>
        <w:rPr>
          <w:rFonts w:ascii="Times New Roman" w:hAnsi="Times New Roman" w:cs="Times New Roman"/>
          <w:iCs/>
          <w:color w:val="auto"/>
        </w:rPr>
        <w:t>§ 2° Quando apresentado o certifi</w:t>
      </w:r>
      <w:r>
        <w:rPr>
          <w:rFonts w:ascii="Times New Roman" w:hAnsi="Times New Roman" w:cs="Times New Roman"/>
          <w:iCs/>
          <w:color w:val="auto"/>
        </w:rPr>
        <w:t xml:space="preserve">cado de conclusão de curso no requerimento de registro profissional, o registro será feito em caráter provisório com validade máxima de um ano </w:t>
      </w:r>
      <w:r>
        <w:rPr>
          <w:rFonts w:ascii="Times New Roman" w:hAnsi="Times New Roman" w:cs="Times New Roman"/>
          <w:bCs/>
          <w:iCs/>
          <w:color w:val="FF0000"/>
        </w:rPr>
        <w:t>a partir da data de colação de grau, registrada no histórico de registro no SICCAU como “data de fim”.</w:t>
      </w:r>
      <w:r>
        <w:rPr>
          <w:rFonts w:ascii="Times New Roman" w:hAnsi="Times New Roman" w:cs="Times New Roman"/>
          <w:iCs/>
          <w:color w:val="FF0000"/>
        </w:rPr>
        <w:t xml:space="preserve"> </w:t>
      </w:r>
    </w:p>
    <w:p w:rsidR="00B50799" w:rsidRDefault="000F5456">
      <w:pPr>
        <w:ind w:left="708"/>
        <w:jc w:val="both"/>
      </w:pPr>
      <w:r>
        <w:rPr>
          <w:rFonts w:ascii="Times New Roman" w:hAnsi="Times New Roman"/>
          <w:iCs/>
        </w:rPr>
        <w:t xml:space="preserve">§ 2°-A O </w:t>
      </w:r>
      <w:r>
        <w:rPr>
          <w:rFonts w:ascii="Times New Roman" w:hAnsi="Times New Roman"/>
          <w:iCs/>
        </w:rPr>
        <w:t xml:space="preserve">prazo de registro provisório a que se refere o § 2° antecedente poderá ser prorrogado por até </w:t>
      </w:r>
      <w:r>
        <w:rPr>
          <w:rFonts w:ascii="Times New Roman" w:hAnsi="Times New Roman"/>
          <w:iCs/>
          <w:strike/>
        </w:rPr>
        <w:t>igual período</w:t>
      </w:r>
      <w:r>
        <w:rPr>
          <w:rFonts w:ascii="Times New Roman" w:hAnsi="Times New Roman"/>
          <w:bCs/>
          <w:iCs/>
          <w:color w:val="FF0000"/>
        </w:rPr>
        <w:t xml:space="preserve"> um ano</w:t>
      </w:r>
      <w:r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/>
          <w:bCs/>
          <w:iCs/>
          <w:color w:val="FF0000"/>
        </w:rPr>
        <w:t>sequencial ao período inicial,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strike/>
        </w:rPr>
        <w:t>quando,</w:t>
      </w:r>
      <w:r>
        <w:rPr>
          <w:rFonts w:ascii="Times New Roman" w:hAnsi="Times New Roman"/>
          <w:iCs/>
        </w:rPr>
        <w:t xml:space="preserve"> mediante requerimento do interessado, a ser firmado por meio de formulário próprio disponível no SICC</w:t>
      </w:r>
      <w:r>
        <w:rPr>
          <w:rFonts w:ascii="Times New Roman" w:hAnsi="Times New Roman"/>
          <w:iCs/>
        </w:rPr>
        <w:t xml:space="preserve">AU, </w:t>
      </w:r>
      <w:r>
        <w:rPr>
          <w:rFonts w:ascii="Times New Roman" w:hAnsi="Times New Roman"/>
          <w:iCs/>
          <w:strike/>
        </w:rPr>
        <w:t>for apresentada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color w:val="FF0000"/>
        </w:rPr>
        <w:t>apresentando</w:t>
      </w:r>
      <w:r>
        <w:rPr>
          <w:rFonts w:ascii="Times New Roman" w:hAnsi="Times New Roman"/>
          <w:iCs/>
        </w:rPr>
        <w:t xml:space="preserve"> justificativa para a não apresentação do diploma de graduação devidamente registrado, </w:t>
      </w:r>
      <w:r>
        <w:rPr>
          <w:rFonts w:ascii="Times New Roman" w:hAnsi="Times New Roman"/>
          <w:iCs/>
          <w:color w:val="FF0000"/>
        </w:rPr>
        <w:t>acompanhada d</w:t>
      </w:r>
      <w:r>
        <w:rPr>
          <w:rFonts w:ascii="Times New Roman" w:hAnsi="Times New Roman"/>
          <w:bCs/>
          <w:iCs/>
          <w:color w:val="FF0000"/>
        </w:rPr>
        <w:t>o protocolo de solicitação do diploma junto a Instituição de Ensino</w:t>
      </w:r>
      <w:r>
        <w:rPr>
          <w:rFonts w:ascii="Times New Roman" w:hAnsi="Times New Roman"/>
          <w:iCs/>
        </w:rPr>
        <w:t>.”</w:t>
      </w:r>
    </w:p>
    <w:p w:rsidR="00B50799" w:rsidRDefault="000F5456">
      <w:pPr>
        <w:ind w:left="708"/>
        <w:jc w:val="both"/>
        <w:rPr>
          <w:rFonts w:ascii="Times New Roman" w:hAnsi="Times New Roman"/>
          <w:iCs/>
          <w:color w:val="FF0000"/>
        </w:rPr>
      </w:pPr>
      <w:r>
        <w:rPr>
          <w:rFonts w:ascii="Times New Roman" w:hAnsi="Times New Roman"/>
          <w:iCs/>
          <w:color w:val="FF0000"/>
        </w:rPr>
        <w:t>§ 2º-B Não cumprido o disposto no parágrafo 2º-A ou ve</w:t>
      </w:r>
      <w:r>
        <w:rPr>
          <w:rFonts w:ascii="Times New Roman" w:hAnsi="Times New Roman"/>
          <w:iCs/>
          <w:color w:val="FF0000"/>
        </w:rPr>
        <w:t xml:space="preserve">ncido o seu prazo sem a apresentação do diploma, o registro provisório do profissional será interrompido até que seja apresentado diploma de graduação devidamente registrado.  </w:t>
      </w:r>
    </w:p>
    <w:p w:rsidR="00B50799" w:rsidRDefault="00B50799">
      <w:pPr>
        <w:ind w:left="709"/>
        <w:jc w:val="both"/>
        <w:rPr>
          <w:rFonts w:ascii="Times New Roman" w:hAnsi="Times New Roman"/>
          <w:color w:val="FF0000"/>
        </w:rPr>
      </w:pPr>
    </w:p>
    <w:p w:rsidR="00B50799" w:rsidRDefault="000F5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2° Os registros provisórios concedidos anteriormente à publicação desta r</w:t>
      </w:r>
      <w:r>
        <w:rPr>
          <w:rFonts w:ascii="Times New Roman" w:hAnsi="Times New Roman"/>
        </w:rPr>
        <w:t>esolução, vencido o prazo igual ou superior a um ano da data do registro no CAU/UF concedido ao profissional, deverão seguir o disposto no parágrafo 2º-A e 2º-B quanto a sua prorrogação;</w:t>
      </w:r>
    </w:p>
    <w:p w:rsidR="00B50799" w:rsidRDefault="00B50799">
      <w:pPr>
        <w:jc w:val="both"/>
        <w:rPr>
          <w:rFonts w:ascii="Times New Roman" w:hAnsi="Times New Roman"/>
        </w:rPr>
      </w:pPr>
    </w:p>
    <w:p w:rsidR="00B50799" w:rsidRDefault="000F5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único: os CAU/UF terão 180 dias a partir da data de public</w:t>
      </w:r>
      <w:r>
        <w:rPr>
          <w:rFonts w:ascii="Times New Roman" w:hAnsi="Times New Roman"/>
        </w:rPr>
        <w:t>ação desta resolução para procederem à adequação de prazos e procedimentos relativos aos registros provisórios já concedidos;</w:t>
      </w:r>
    </w:p>
    <w:p w:rsidR="00B50799" w:rsidRDefault="00B50799">
      <w:pPr>
        <w:jc w:val="both"/>
        <w:rPr>
          <w:rFonts w:ascii="Times New Roman" w:hAnsi="Times New Roman"/>
        </w:rPr>
      </w:pPr>
    </w:p>
    <w:p w:rsidR="00B50799" w:rsidRDefault="000F54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4º Esta Resolução entra em vigor na data de sua publicação.</w:t>
      </w:r>
    </w:p>
    <w:p w:rsidR="00B50799" w:rsidRDefault="00B50799">
      <w:pPr>
        <w:jc w:val="center"/>
        <w:rPr>
          <w:rFonts w:ascii="Times New Roman" w:hAnsi="Times New Roman"/>
        </w:rPr>
      </w:pPr>
    </w:p>
    <w:p w:rsidR="00B50799" w:rsidRDefault="000F54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Brasília, XX de XXXX de 2018.</w:t>
      </w:r>
    </w:p>
    <w:p w:rsidR="00B50799" w:rsidRDefault="00B50799">
      <w:pPr>
        <w:jc w:val="center"/>
        <w:rPr>
          <w:rFonts w:ascii="Times New Roman" w:hAnsi="Times New Roman"/>
        </w:rPr>
      </w:pPr>
    </w:p>
    <w:p w:rsidR="00B50799" w:rsidRDefault="00B50799">
      <w:pPr>
        <w:jc w:val="center"/>
        <w:rPr>
          <w:rFonts w:ascii="Times New Roman" w:hAnsi="Times New Roman"/>
        </w:rPr>
      </w:pPr>
    </w:p>
    <w:p w:rsidR="00B50799" w:rsidRDefault="000F5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LUCIANO GUIMARÃES </w:t>
      </w:r>
    </w:p>
    <w:p w:rsidR="00B50799" w:rsidRDefault="000F5456">
      <w:pPr>
        <w:jc w:val="center"/>
      </w:pPr>
      <w:r>
        <w:rPr>
          <w:rFonts w:ascii="Times New Roman" w:hAnsi="Times New Roman"/>
        </w:rPr>
        <w:t xml:space="preserve">Presidente </w:t>
      </w:r>
      <w:r>
        <w:rPr>
          <w:rFonts w:ascii="Times New Roman" w:hAnsi="Times New Roman"/>
        </w:rPr>
        <w:t>do CAU/BR</w:t>
      </w:r>
    </w:p>
    <w:sectPr w:rsidR="00B50799">
      <w:headerReference w:type="default" r:id="rId10"/>
      <w:footerReference w:type="default" r:id="rId11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5456">
      <w:r>
        <w:separator/>
      </w:r>
    </w:p>
  </w:endnote>
  <w:endnote w:type="continuationSeparator" w:id="0">
    <w:p w:rsidR="00000000" w:rsidRDefault="000F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C5" w:rsidRDefault="000F545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B77C5" w:rsidRDefault="000F545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6B77C5" w:rsidRDefault="000F545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C5" w:rsidRDefault="000F545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B77C5" w:rsidRDefault="000F545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6B77C5" w:rsidRDefault="000F545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5456">
      <w:r>
        <w:rPr>
          <w:color w:val="000000"/>
        </w:rPr>
        <w:separator/>
      </w:r>
    </w:p>
  </w:footnote>
  <w:footnote w:type="continuationSeparator" w:id="0">
    <w:p w:rsidR="00000000" w:rsidRDefault="000F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C5" w:rsidRDefault="000F545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C5" w:rsidRDefault="000F545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D1B"/>
    <w:multiLevelType w:val="multilevel"/>
    <w:tmpl w:val="97A05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799"/>
    <w:rsid w:val="000F5456"/>
    <w:rsid w:val="00B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5971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2019-07-18T19:01:00Z</dcterms:created>
  <dcterms:modified xsi:type="dcterms:W3CDTF">2019-07-18T19:01:00Z</dcterms:modified>
</cp:coreProperties>
</file>