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3C57B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57B7" w:rsidRDefault="006574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57B7" w:rsidRDefault="006574D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648125/2018</w:t>
            </w:r>
          </w:p>
        </w:tc>
      </w:tr>
      <w:tr w:rsidR="003C57B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57B7" w:rsidRDefault="006574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57B7" w:rsidRDefault="006574D9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Comissão de Exercício Profissional CEP-CAU/BR </w:t>
            </w:r>
          </w:p>
        </w:tc>
      </w:tr>
      <w:tr w:rsidR="003C57B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57B7" w:rsidRDefault="006574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57B7" w:rsidRDefault="006574D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Análise do Projeto de Resolução que altera a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Resolução 10/2012 – ref. anotação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especialização em Eng. Seg. Trabalho.</w:t>
            </w:r>
          </w:p>
        </w:tc>
      </w:tr>
    </w:tbl>
    <w:p w:rsidR="003C57B7" w:rsidRDefault="006574D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015/2018 – CEF-CAU/BR</w:t>
      </w:r>
    </w:p>
    <w:p w:rsidR="003C57B7" w:rsidRDefault="006574D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extraordinariamente em Brasília-DF, na Confederação Nacional dos Trabalhadores no Comércio (CNTC), no dia 22 de fevereiro de 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018, no uso das competências que lhe conferem o art. 99 do Regimento Interno do CAU/BR, após análise do assunto em epígrafe, e</w:t>
      </w:r>
    </w:p>
    <w:p w:rsidR="003C57B7" w:rsidRDefault="003C57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do CAU/BR DPOBR nº 0070-07/2017, que autoriza o presidente do CAU/BR a sancionar a Resolução</w:t>
      </w:r>
      <w:r>
        <w:rPr>
          <w:rFonts w:ascii="Times New Roman" w:hAnsi="Times New Roman"/>
          <w:sz w:val="22"/>
          <w:szCs w:val="22"/>
          <w:lang w:eastAsia="pt-BR"/>
        </w:rPr>
        <w:t xml:space="preserve"> Conjunta que dispõe sobre o exercício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profissional, o registro e as atividades do arquiteto e urbanista com especialização em Engenharia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de Segurança do Trabalho;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Lei n° 7.410, de 27 de novembro de 1985, que dispõe sobre a Especialização d</w:t>
      </w:r>
      <w:r>
        <w:rPr>
          <w:rFonts w:ascii="Times New Roman" w:hAnsi="Times New Roman"/>
          <w:sz w:val="22"/>
          <w:szCs w:val="22"/>
          <w:lang w:eastAsia="pt-BR"/>
        </w:rPr>
        <w:t>e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Engenheiros e Arquitetos em Engenharia de Segurança do Trabalho e define os requisitos e condições para o exercício da especialização de “Engenheiro e Segurança do Trabalho”;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necessidade de aperfeiçoamento da Resolução CAU/BR nº 10, de 16</w:t>
      </w:r>
      <w:r>
        <w:rPr>
          <w:rFonts w:ascii="Times New Roman" w:hAnsi="Times New Roman"/>
          <w:sz w:val="22"/>
          <w:szCs w:val="22"/>
          <w:lang w:eastAsia="pt-BR"/>
        </w:rPr>
        <w:t xml:space="preserve"> de janeiro de 2012, que regulamenta o exercício profissional, o registro e as atividades do </w:t>
      </w:r>
      <w:r>
        <w:rPr>
          <w:rFonts w:ascii="Times New Roman" w:hAnsi="Times New Roman"/>
          <w:sz w:val="22"/>
          <w:szCs w:val="22"/>
        </w:rPr>
        <w:t xml:space="preserve">arquiteto e urbanista com especialização em Engenharia de Segurança do Trabalho, </w:t>
      </w:r>
      <w:r>
        <w:rPr>
          <w:rFonts w:ascii="Times New Roman" w:hAnsi="Times New Roman"/>
          <w:sz w:val="22"/>
          <w:szCs w:val="22"/>
          <w:lang w:eastAsia="pt-BR"/>
        </w:rPr>
        <w:t xml:space="preserve">em atendimento a diversas demandas encaminhadas pelos CAU/UF, RIA e Ouvidoria; </w:t>
      </w:r>
    </w:p>
    <w:p w:rsidR="003C57B7" w:rsidRDefault="003C57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57B7" w:rsidRDefault="006574D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002/2018 CEP-CAU/BR que </w:t>
      </w:r>
      <w:r>
        <w:rPr>
          <w:rFonts w:ascii="Times New Roman" w:hAnsi="Times New Roman"/>
          <w:sz w:val="22"/>
          <w:szCs w:val="22"/>
        </w:rPr>
        <w:t>aprovar o anteprojeto de resolução que que dispõe sobre o exercício profissional, o registro e as atividades do arquiteto e urbanista com especialização em Engenharia de Segurança do Trabalho, com proposta</w:t>
      </w:r>
      <w:r>
        <w:rPr>
          <w:rFonts w:ascii="Times New Roman" w:hAnsi="Times New Roman"/>
          <w:sz w:val="22"/>
          <w:szCs w:val="22"/>
        </w:rPr>
        <w:t xml:space="preserve"> de revogação da Resolução CAU/BR nº 10, de 16 de janeiro de 2012 e encaminhar o referido anteprojeto de resolução à Comissão de Ensino e Formação – CEF-CAU/BR, para manifestação.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3C57B7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3C57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C57B7" w:rsidRDefault="006574D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C57B7" w:rsidRDefault="003C57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C57B7" w:rsidRDefault="006574D9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Aprovar as alterações ao anteprojeto de resolução que dispõe sob</w:t>
            </w:r>
            <w:r>
              <w:rPr>
                <w:rFonts w:ascii="Times New Roman" w:hAnsi="Times New Roman"/>
                <w:sz w:val="22"/>
                <w:szCs w:val="22"/>
              </w:rPr>
              <w:t>re o exercício profissional, o registro e as atividades do arquiteto e urbanista com especialização em Engenharia de Segurança do Trabalho, encaminhado pela CEP-CAU/BR, conforme anexo I desta deliberação;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C57B7" w:rsidRDefault="003C57B7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C57B7" w:rsidRDefault="006574D9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Restituir o anteprojeto de resolução à SGM para e</w:t>
            </w:r>
            <w:r>
              <w:rPr>
                <w:rFonts w:ascii="Times New Roman" w:hAnsi="Times New Roman"/>
                <w:sz w:val="22"/>
                <w:szCs w:val="22"/>
              </w:rPr>
              <w:t>nvio à Comissão de Exercício Profissional – CEP-CAU/BR, para encaminhamento.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C57B7" w:rsidRDefault="003C57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3C57B7" w:rsidRDefault="006574D9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22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C57B7" w:rsidRDefault="003C57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57B7" w:rsidRDefault="003C57B7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C57B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3C57B7" w:rsidRDefault="006574D9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3C57B7" w:rsidRDefault="003C57B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57B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3C57B7" w:rsidRDefault="006574D9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3C57B7" w:rsidRDefault="003C57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57B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3C57B7" w:rsidRDefault="006574D9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3C57B7" w:rsidRDefault="003C57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57B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3C57B7" w:rsidRDefault="006574D9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3C57B7" w:rsidRDefault="003C57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57B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</w:t>
            </w:r>
            <w:r>
              <w:t>a Ximenes Ponte</w:t>
            </w:r>
            <w:r>
              <w:fldChar w:fldCharType="end"/>
            </w:r>
          </w:p>
          <w:p w:rsidR="003C57B7" w:rsidRDefault="006574D9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3C57B7" w:rsidRDefault="003C57B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C57B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3C57B7" w:rsidRDefault="006574D9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B7" w:rsidRDefault="006574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C57B7" w:rsidRDefault="003C57B7">
      <w:pPr>
        <w:rPr>
          <w:rFonts w:ascii="Times New Roman" w:hAnsi="Times New Roman"/>
          <w:sz w:val="22"/>
          <w:szCs w:val="22"/>
        </w:rPr>
      </w:pPr>
    </w:p>
    <w:p w:rsidR="003C57B7" w:rsidRDefault="003C57B7">
      <w:pPr>
        <w:rPr>
          <w:rFonts w:ascii="Times New Roman" w:hAnsi="Times New Roman"/>
          <w:sz w:val="22"/>
          <w:szCs w:val="22"/>
        </w:rPr>
      </w:pPr>
    </w:p>
    <w:p w:rsidR="003C57B7" w:rsidRDefault="003C57B7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3C57B7">
      <w:pPr>
        <w:rPr>
          <w:rFonts w:ascii="Times New Roman" w:hAnsi="Times New Roman"/>
          <w:b/>
          <w:sz w:val="22"/>
          <w:szCs w:val="22"/>
        </w:rPr>
      </w:pPr>
    </w:p>
    <w:p w:rsidR="003C57B7" w:rsidRDefault="006574D9">
      <w:pPr>
        <w:jc w:val="center"/>
      </w:pPr>
      <w:r>
        <w:rPr>
          <w:rFonts w:ascii="Times New Roman" w:hAnsi="Times New Roman"/>
          <w:b/>
          <w:sz w:val="22"/>
          <w:szCs w:val="22"/>
        </w:rPr>
        <w:t xml:space="preserve">RESOLUÇÃO N° </w:t>
      </w:r>
      <w:r>
        <w:rPr>
          <w:rFonts w:ascii="Times New Roman" w:hAnsi="Times New Roman"/>
          <w:b/>
          <w:sz w:val="22"/>
          <w:szCs w:val="22"/>
          <w:shd w:val="clear" w:color="auto" w:fill="FFFF00"/>
        </w:rPr>
        <w:t>XXX</w:t>
      </w:r>
      <w:r>
        <w:rPr>
          <w:rFonts w:ascii="Times New Roman" w:hAnsi="Times New Roman"/>
          <w:b/>
          <w:sz w:val="22"/>
          <w:szCs w:val="22"/>
        </w:rPr>
        <w:t xml:space="preserve">, DE </w:t>
      </w:r>
      <w:r>
        <w:rPr>
          <w:rFonts w:ascii="Times New Roman" w:hAnsi="Times New Roman"/>
          <w:b/>
          <w:sz w:val="22"/>
          <w:szCs w:val="22"/>
          <w:shd w:val="clear" w:color="auto" w:fill="FFFF00"/>
        </w:rPr>
        <w:t xml:space="preserve">XX DE XXXXXX </w:t>
      </w:r>
      <w:r>
        <w:rPr>
          <w:rFonts w:ascii="Times New Roman" w:hAnsi="Times New Roman"/>
          <w:b/>
          <w:sz w:val="22"/>
          <w:szCs w:val="22"/>
        </w:rPr>
        <w:t>DE 2018.</w:t>
      </w:r>
    </w:p>
    <w:p w:rsidR="003C57B7" w:rsidRDefault="003C57B7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3C57B7" w:rsidRDefault="006574D9">
      <w:pPr>
        <w:ind w:left="425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Dispõe sobre a anotação de curso e o exercício das atividades do arquiteto e urbanista com especialização em Engenharia de Segurança do Trabalho e dá outras providências.</w:t>
      </w:r>
    </w:p>
    <w:p w:rsidR="003C57B7" w:rsidRDefault="003C57B7">
      <w:pPr>
        <w:ind w:left="4253"/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</w:rPr>
        <w:t>O CONSELHO DE ARQUITETURA E URBANISMO DO</w:t>
      </w:r>
      <w:r>
        <w:rPr>
          <w:rFonts w:ascii="Times New Roman" w:hAnsi="Times New Roman"/>
          <w:sz w:val="22"/>
          <w:szCs w:val="22"/>
        </w:rPr>
        <w:t xml:space="preserve"> BRASIL (CAU/BR), no exercício das competências e prerrogativas de que tratam o art. 28 da Lei n° 12.378, de 31 de dezembro de 2010, e os artigos 2°, 4° e 30 do Regimento Interno aprovado pela Deliberação Plenária Ordinária DPOBR n° 0065-05/2017, de 28 de </w:t>
      </w:r>
      <w:r>
        <w:rPr>
          <w:rFonts w:ascii="Times New Roman" w:hAnsi="Times New Roman"/>
          <w:sz w:val="22"/>
          <w:szCs w:val="22"/>
        </w:rPr>
        <w:t xml:space="preserve">abril de 2017, e instituído pela Resolução CAU/BR n° 139, de 28 de abril de 2017, e de acordo com a Deliberação Plenária Ordinária DPOBR n° </w:t>
      </w:r>
      <w:r>
        <w:rPr>
          <w:rFonts w:ascii="Times New Roman" w:hAnsi="Times New Roman"/>
          <w:sz w:val="22"/>
          <w:szCs w:val="22"/>
          <w:shd w:val="clear" w:color="auto" w:fill="FFFF00"/>
        </w:rPr>
        <w:t>00XX-XX/2018, de DD de MMMMMM de 2018</w:t>
      </w:r>
      <w:r>
        <w:rPr>
          <w:rFonts w:ascii="Times New Roman" w:hAnsi="Times New Roman"/>
          <w:sz w:val="22"/>
          <w:szCs w:val="22"/>
        </w:rPr>
        <w:t xml:space="preserve">, adotada na Reunião Plenária Ordinária n° </w:t>
      </w:r>
      <w:r>
        <w:rPr>
          <w:rFonts w:ascii="Times New Roman" w:hAnsi="Times New Roman"/>
          <w:sz w:val="22"/>
          <w:szCs w:val="22"/>
          <w:shd w:val="clear" w:color="auto" w:fill="FFFF00"/>
        </w:rPr>
        <w:t>XX</w:t>
      </w:r>
      <w:r>
        <w:rPr>
          <w:rFonts w:ascii="Times New Roman" w:hAnsi="Times New Roman"/>
          <w:sz w:val="22"/>
          <w:szCs w:val="22"/>
        </w:rPr>
        <w:t xml:space="preserve">, realizada no dia </w:t>
      </w:r>
      <w:r>
        <w:rPr>
          <w:rFonts w:ascii="Times New Roman" w:hAnsi="Times New Roman"/>
          <w:sz w:val="22"/>
          <w:szCs w:val="22"/>
          <w:shd w:val="clear" w:color="auto" w:fill="FFFF00"/>
        </w:rPr>
        <w:t>DD de MMMMMM de</w:t>
      </w:r>
      <w:r>
        <w:rPr>
          <w:rFonts w:ascii="Times New Roman" w:hAnsi="Times New Roman"/>
          <w:sz w:val="22"/>
          <w:szCs w:val="22"/>
          <w:shd w:val="clear" w:color="auto" w:fill="FFFF00"/>
        </w:rPr>
        <w:t xml:space="preserve"> 2018</w:t>
      </w:r>
      <w:r>
        <w:rPr>
          <w:rFonts w:ascii="Times New Roman" w:hAnsi="Times New Roman"/>
          <w:sz w:val="22"/>
          <w:szCs w:val="22"/>
        </w:rPr>
        <w:t>; e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Lei n° 7.410, de 27 de novembro de 1985, que dispõe sobre a Especialização de Engenheiros e Arquitetos em Engenharia de Segurança do Trabalho;</w:t>
      </w:r>
    </w:p>
    <w:p w:rsidR="003C57B7" w:rsidRDefault="003C57B7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</w:p>
    <w:p w:rsidR="003C57B7" w:rsidRDefault="006574D9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3º da Lei nº 7.410, de 1985, determina que o exercício da ativi</w:t>
      </w:r>
      <w:r>
        <w:rPr>
          <w:rFonts w:ascii="Times New Roman" w:hAnsi="Times New Roman"/>
          <w:sz w:val="22"/>
          <w:szCs w:val="22"/>
        </w:rPr>
        <w:t>dade de Engenheiros e Arquitetos na especialização em Engenharia de Segurança do Trabalho dependerá de registro em Conselho Regional de Engenharia, Arquitetura e Agronomia;</w:t>
      </w:r>
    </w:p>
    <w:p w:rsidR="003C57B7" w:rsidRDefault="003C57B7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</w:p>
    <w:p w:rsidR="003C57B7" w:rsidRDefault="006574D9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Decreto nº 92.530, de 9 de abril de 1986, regulamenta a Lei nº </w:t>
      </w:r>
      <w:r>
        <w:rPr>
          <w:rFonts w:ascii="Times New Roman" w:hAnsi="Times New Roman"/>
          <w:sz w:val="22"/>
          <w:szCs w:val="22"/>
        </w:rPr>
        <w:t>7410, de 1985, e estabelece em seu art. 1º as condições para o exercício da especialização de Engenheiro de Segurança do Trabalho no Brasil.</w:t>
      </w:r>
    </w:p>
    <w:p w:rsidR="003C57B7" w:rsidRDefault="003C57B7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</w:p>
    <w:p w:rsidR="003C57B7" w:rsidRDefault="003C57B7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</w:p>
    <w:p w:rsidR="003C57B7" w:rsidRDefault="006574D9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Norma Regulamentadora nº 4 (NR-4) do Ministério do Trabalho, que dispõe sobre os Serviços Especial</w:t>
      </w:r>
      <w:r>
        <w:rPr>
          <w:rFonts w:ascii="Times New Roman" w:hAnsi="Times New Roman"/>
          <w:sz w:val="22"/>
          <w:szCs w:val="22"/>
        </w:rPr>
        <w:t>izados em Engenharia de Segurança e em Medicina do Trabalho, e determina os requisitos e critérios a serem seguidos pelos Engenheiros de Segurança do Trabalho no exercício das atividades.</w:t>
      </w:r>
    </w:p>
    <w:p w:rsidR="003C57B7" w:rsidRDefault="003C57B7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</w:p>
    <w:p w:rsidR="003C57B7" w:rsidRDefault="006574D9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as questões relativas aos arquitetos e urbanistas,</w:t>
      </w:r>
      <w:r>
        <w:rPr>
          <w:rFonts w:ascii="Times New Roman" w:hAnsi="Times New Roman"/>
          <w:sz w:val="22"/>
          <w:szCs w:val="22"/>
        </w:rPr>
        <w:t xml:space="preserve"> constantes da Lei nº 5.194, de 24 de dezembro de 1966 e Lei nº 6.496, de 7 de dezembro de 1977, passaram a ser regulamentadas pela Lei n° 12.378, de 31 de dezembro de 2010;</w:t>
      </w:r>
    </w:p>
    <w:p w:rsidR="003C57B7" w:rsidRDefault="003C57B7">
      <w:pPr>
        <w:pStyle w:val="1034-Considerandos"/>
        <w:spacing w:before="0" w:after="0"/>
        <w:ind w:firstLine="0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que o § 1° do art. 2° do </w:t>
      </w:r>
      <w:hyperlink r:id="rId8" w:history="1">
        <w:r>
          <w:rPr>
            <w:rStyle w:val="Forte"/>
            <w:rFonts w:ascii="Times New Roman" w:hAnsi="Times New Roman"/>
            <w:b w:val="0"/>
            <w:sz w:val="22"/>
            <w:szCs w:val="22"/>
          </w:rPr>
          <w:t>Decreto-Lei nº 4.657, de 4 de setembro de 1942</w:t>
        </w:r>
      </w:hyperlink>
      <w:r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prevê que a lei posterior revoga a anterior [...] quando regule inteiramente a matéria de que trata a lei anterior.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</w:t>
      </w:r>
      <w:r>
        <w:rPr>
          <w:rFonts w:ascii="Times New Roman" w:hAnsi="Times New Roman"/>
          <w:sz w:val="22"/>
          <w:szCs w:val="22"/>
        </w:rPr>
        <w:t>ue a partir da vigência da Lei n° 12.378, de 2010, os arquitetos e urbanistas passaram a ter registro profissional nos Conselhos de Arquitetura e Urbanismo dos Estados e do Distrito Federal (CAU/UF).</w:t>
      </w:r>
    </w:p>
    <w:p w:rsidR="003C57B7" w:rsidRDefault="003C57B7">
      <w:pPr>
        <w:jc w:val="both"/>
        <w:rPr>
          <w:rFonts w:ascii="Times New Roman" w:hAnsi="Times New Roman"/>
        </w:rPr>
      </w:pP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nº 21, de 5 de abril </w:t>
      </w:r>
      <w:r>
        <w:rPr>
          <w:rFonts w:ascii="Times New Roman" w:hAnsi="Times New Roman"/>
          <w:sz w:val="22"/>
          <w:szCs w:val="22"/>
          <w:lang w:eastAsia="pt-BR"/>
        </w:rPr>
        <w:t>de 2012, que detalha em seu art. 3º as atividades e atribuições profissionais dos arquitetos e urbanistas para fins de Registro de Responsabilidade Técnica (RRT) e formação de acervo técnico no CAU;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Regimento Geral do CAU, aprovado pela Res</w:t>
      </w:r>
      <w:r>
        <w:rPr>
          <w:rFonts w:ascii="Times New Roman" w:hAnsi="Times New Roman"/>
          <w:sz w:val="22"/>
          <w:szCs w:val="22"/>
        </w:rPr>
        <w:t>olução CAU/BR nº 139, de 28 de abril de 2017, no qual foram adotadas as seguintes definições e convenções:</w:t>
      </w:r>
    </w:p>
    <w:p w:rsidR="003C57B7" w:rsidRDefault="006574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 – CAU: se refere ao conjunto autárquico formado pelo Conselho de Arquitetura e Urbanismo do Brasil (CAU/BR) e pelos Conselhos de Arquitetura e Urba</w:t>
      </w:r>
      <w:r>
        <w:rPr>
          <w:rFonts w:ascii="Times New Roman" w:hAnsi="Times New Roman"/>
          <w:sz w:val="22"/>
          <w:szCs w:val="22"/>
        </w:rPr>
        <w:t>nismo dos Estados e do Distrito Federal (CAU/UF);</w:t>
      </w:r>
    </w:p>
    <w:p w:rsidR="003C57B7" w:rsidRDefault="006574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CAU/UF: se refere, genericamente, a qualquer dos Conselhos de Arquitetura e Urbanismo dos Estados e do Distrito Federal; e</w:t>
      </w:r>
    </w:p>
    <w:p w:rsidR="003C57B7" w:rsidRDefault="003C57B7">
      <w:pPr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aperfeiçoar os procedimentos relativos ao </w:t>
      </w:r>
      <w:r>
        <w:rPr>
          <w:rFonts w:ascii="Times New Roman" w:hAnsi="Times New Roman"/>
          <w:sz w:val="22"/>
          <w:szCs w:val="22"/>
        </w:rPr>
        <w:t>exercício profissional, registro e atividades do arquiteto e urbanista com especialização em Engenharia de Segurança do Trabalho no CAU, previstos na Resolução CAU/BR nº 10, de 16 de janeiro de 2012.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RESOLVE:</w:t>
      </w: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</w:t>
      </w: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DISPOSIÇÕES PRELIMINARES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pStyle w:val="Artigo"/>
        <w:spacing w:before="0"/>
        <w:jc w:val="both"/>
        <w:rPr>
          <w:szCs w:val="22"/>
        </w:rPr>
      </w:pPr>
      <w:r>
        <w:rPr>
          <w:szCs w:val="22"/>
        </w:rPr>
        <w:t xml:space="preserve">Art. </w:t>
      </w:r>
      <w:r>
        <w:rPr>
          <w:szCs w:val="22"/>
        </w:rPr>
        <w:t>1° Esta Resolução fixa os procedimentos para habilitação dos arquitetos e urbanistas com curso de especialização em Engenharia de Segurança do Trabalho para o exercício da especialização de Engenheiro de Segurança do Trabalho.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2º O exercício da espec</w:t>
      </w:r>
      <w:r>
        <w:rPr>
          <w:rFonts w:ascii="Times New Roman" w:hAnsi="Times New Roman"/>
          <w:sz w:val="22"/>
          <w:szCs w:val="22"/>
        </w:rPr>
        <w:t>ialização de Engenheiro de Segurança do Trabalho é permitido, exclusivamente, ao arquiteto e urbanista:</w:t>
      </w: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I- portador de certificado de conclusão de curso de especialização, em nível de pós-graduação, em Engenharia de Segurança do Trabalho;</w:t>
      </w: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II- portador de c</w:t>
      </w:r>
      <w:r>
        <w:rPr>
          <w:rFonts w:ascii="Times New Roman" w:hAnsi="Times New Roman"/>
          <w:sz w:val="22"/>
          <w:szCs w:val="22"/>
        </w:rPr>
        <w:t>ertificado de curso de especialização em Engenharia de Segurança do Trabalho, realizado em caráter prioritário pelo Ministério do Trabalho;</w:t>
      </w: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III- portador de registro de Engenharia de Segurança do Trabalho, expedido pelo Ministério do Trabalho, dentro de 18</w:t>
      </w:r>
      <w:r>
        <w:rPr>
          <w:rFonts w:ascii="Times New Roman" w:hAnsi="Times New Roman"/>
          <w:sz w:val="22"/>
          <w:szCs w:val="22"/>
        </w:rPr>
        <w:t>0 (cento e oitenta) dias da extinção do curso referido no item anterior.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§1º Para os fins desta Resolução, o título único de arquiteto e urbanista compreende, em conformidade com o art. 55 da Lei n° 12.378, de 2010, os títulos de arquiteto, arquiteto e ur</w:t>
      </w:r>
      <w:r>
        <w:rPr>
          <w:rFonts w:ascii="Times New Roman" w:hAnsi="Times New Roman"/>
          <w:sz w:val="22"/>
          <w:szCs w:val="22"/>
        </w:rPr>
        <w:t>banista e engenheiro arquiteto.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§2º Ficam asseguradas aos arquitetos e urbanistas possuidores de anotação da especialização de Engenheiro ou de Engenharia de Segurança do Trabalho efetuada pelos então Conselhos Regionais de Engenharia, Arquitetura e Agron</w:t>
      </w:r>
      <w:r>
        <w:rPr>
          <w:rFonts w:ascii="Times New Roman" w:hAnsi="Times New Roman"/>
          <w:sz w:val="22"/>
          <w:szCs w:val="22"/>
        </w:rPr>
        <w:t>omia (CREA) antes da entrada em vigor da Lei n° 12.378, de 2010, as prerrogativas estabelecidas na Lei nº 7.410, de 1985, e nos normativos específicos do CAU/BR.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3º A habilitação para o exercício das atividades de especialização em Engenharia de Segu</w:t>
      </w:r>
      <w:r>
        <w:rPr>
          <w:rFonts w:ascii="Times New Roman" w:hAnsi="Times New Roman"/>
          <w:sz w:val="22"/>
          <w:szCs w:val="22"/>
        </w:rPr>
        <w:t>rança do Trabalho pelos arquitetos e urbanistas dependerá de registro profissional ativo e da anotação do curso de especialização, em nível pós-graduação, em um dos Conselhos de Arquitetura e Urbanismo dos Estados e do Distrito Federal (CAU/UF), nos termos</w:t>
      </w:r>
      <w:r>
        <w:rPr>
          <w:rFonts w:ascii="Times New Roman" w:hAnsi="Times New Roman"/>
          <w:sz w:val="22"/>
          <w:szCs w:val="22"/>
        </w:rPr>
        <w:t xml:space="preserve"> desta Resolução.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II</w:t>
      </w: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ANOTAÇÃO DO CURSO DE ESPECIALIZAÇÃO EM ENGENHARIA DE SEGURANÇA DO TRABALHO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Art. 4º A anotação do curso deverá ser requerida pelo arquiteto e urbanista, com registro ativo no CAU, por meio do preenchimento de formulário </w:t>
      </w:r>
      <w:r>
        <w:rPr>
          <w:rFonts w:ascii="Times New Roman" w:hAnsi="Times New Roman"/>
          <w:sz w:val="22"/>
          <w:szCs w:val="22"/>
          <w:lang w:eastAsia="pt-BR"/>
        </w:rPr>
        <w:t xml:space="preserve">específico disponível no ambiente profissional do Sistema de Informação e Comunicação do Conselho de Arquitetura e Urbanismo (SICCAU).  </w:t>
      </w:r>
    </w:p>
    <w:p w:rsidR="003C57B7" w:rsidRDefault="003C57B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6574D9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§1º O formulário de requerimento, de que trata 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caput</w:t>
      </w:r>
      <w:r>
        <w:rPr>
          <w:rFonts w:ascii="Times New Roman" w:hAnsi="Times New Roman"/>
          <w:sz w:val="22"/>
          <w:szCs w:val="22"/>
          <w:lang w:eastAsia="pt-BR"/>
        </w:rPr>
        <w:t xml:space="preserve"> do artigo, ao ser cadastrado, gera o número do protocolo SICCAU</w:t>
      </w:r>
      <w:r>
        <w:rPr>
          <w:rFonts w:ascii="Times New Roman" w:hAnsi="Times New Roman"/>
          <w:sz w:val="22"/>
          <w:szCs w:val="22"/>
          <w:lang w:eastAsia="pt-BR"/>
        </w:rPr>
        <w:t xml:space="preserve"> que instaura o processo administrativo, que será submetido à análise e aprovação por parte da Comissão de Ensino e Formação do CAU/UF pertinente por meio de procedimento regulamentado de acordo com sua estrutura organizacional e regimento interno. </w:t>
      </w:r>
    </w:p>
    <w:p w:rsidR="003C57B7" w:rsidRDefault="003C57B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§2º P</w:t>
      </w:r>
      <w:r>
        <w:rPr>
          <w:rFonts w:ascii="Times New Roman" w:hAnsi="Times New Roman"/>
          <w:sz w:val="22"/>
          <w:szCs w:val="22"/>
        </w:rPr>
        <w:t>ara os fins desta Resolução, o CAU/UF pertinente é aquele de jurisdição do endereço de registro do profissional, conforme última atualização cadastral no SICCAU.</w:t>
      </w:r>
    </w:p>
    <w:p w:rsidR="003C57B7" w:rsidRDefault="003C57B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Art. 5º No ato do preenchimento do requerimento de anotação do curso, o interessado deverá in</w:t>
      </w:r>
      <w:r>
        <w:rPr>
          <w:rFonts w:ascii="Times New Roman" w:hAnsi="Times New Roman"/>
          <w:sz w:val="22"/>
          <w:szCs w:val="22"/>
          <w:lang w:eastAsia="pt-BR"/>
        </w:rPr>
        <w:t>struir o formulário com as informações abaixo listadas, comprovadas por meio da inserção de documentos, na forma de arquivos digitais:</w:t>
      </w: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 - certificado de conclusão de curso de especialização em Engenharia de Segurança do Trabalho, ministrado no Brasil; </w:t>
      </w: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II</w:t>
      </w:r>
      <w:r>
        <w:rPr>
          <w:rFonts w:ascii="Times New Roman" w:hAnsi="Times New Roman"/>
          <w:sz w:val="22"/>
          <w:szCs w:val="22"/>
          <w:lang w:eastAsia="pt-BR"/>
        </w:rPr>
        <w:t xml:space="preserve"> - histórico escolar com as disciplinas cursadas e respectivas cargas horárias;</w:t>
      </w: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III- período, incluindo data de início e conclusão; </w:t>
      </w: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IV - título da monografia ou Trabalho de Conclusão de Curso;  </w:t>
      </w: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V – identificação do corpo docente com sua respectiva qualif</w:t>
      </w:r>
      <w:r>
        <w:rPr>
          <w:rFonts w:ascii="Times New Roman" w:hAnsi="Times New Roman"/>
          <w:sz w:val="22"/>
          <w:szCs w:val="22"/>
          <w:lang w:eastAsia="pt-BR"/>
        </w:rPr>
        <w:t>icação; e</w:t>
      </w: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VI – dados da instituição de ensino; </w:t>
      </w:r>
    </w:p>
    <w:p w:rsidR="003C57B7" w:rsidRDefault="003C57B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§ 1º A instituição de ensino deverá ser credenciada pelo Ministério da Educação (MEC), de acordo com a legislação educacional em vigor.</w:t>
      </w:r>
    </w:p>
    <w:p w:rsidR="003C57B7" w:rsidRDefault="003C57B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§ 2º O curso deve atender as diretrizes curriculares fixadas pelo </w:t>
      </w:r>
      <w:r>
        <w:rPr>
          <w:rFonts w:ascii="Times New Roman" w:hAnsi="Times New Roman"/>
          <w:sz w:val="22"/>
          <w:szCs w:val="22"/>
          <w:lang w:eastAsia="pt-BR"/>
        </w:rPr>
        <w:t xml:space="preserve">Conselho Federal de Educação, conforme determina o parágrafo único do art. 1º da Lei 7.410, de 1985, observando-se as disciplinas básicas exigidas, a carga horaria e tempo de integralização mínimos e os requisitos do corpo docente exigidos pela legislação </w:t>
      </w:r>
      <w:r>
        <w:rPr>
          <w:rFonts w:ascii="Times New Roman" w:hAnsi="Times New Roman"/>
          <w:sz w:val="22"/>
          <w:szCs w:val="22"/>
          <w:lang w:eastAsia="pt-BR"/>
        </w:rPr>
        <w:t xml:space="preserve">educacional em vigor. </w:t>
      </w:r>
    </w:p>
    <w:p w:rsidR="003C57B7" w:rsidRDefault="003C57B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3C57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7º. O prazo de análise do requerimento de anotação do curso será de até 60 (sessenta dias) contada a partir da inclusão da documentação mencionada no art. 6º em local próprio no SICCAU, sendo que os procedimentos para análise </w:t>
      </w:r>
      <w:r>
        <w:rPr>
          <w:rFonts w:ascii="Times New Roman" w:hAnsi="Times New Roman"/>
          <w:sz w:val="22"/>
          <w:szCs w:val="22"/>
        </w:rPr>
        <w:t>do requerimento de anotação do curso serão definidos por meio de Instrução específica emitida pelo CAU/BR, com a finalidade de orientar os CAU/UF, de acordo com o Manual de Atos Administrativos e Normativos de Competência do CAU/BR.</w:t>
      </w: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único: Ao fin</w:t>
      </w:r>
      <w:r>
        <w:rPr>
          <w:rFonts w:ascii="Times New Roman" w:hAnsi="Times New Roman"/>
          <w:sz w:val="22"/>
          <w:szCs w:val="22"/>
        </w:rPr>
        <w:t>alizar a análise e fundamentar sua decisão, o CAU/UF pertinente deverá comunicar o profissional interessado sobre o deferimento ou indeferimento do pleito.</w:t>
      </w:r>
    </w:p>
    <w:p w:rsidR="003C57B7" w:rsidRDefault="006574D9">
      <w:pPr>
        <w:pStyle w:val="Pargrafo"/>
        <w:rPr>
          <w:shd w:val="clear" w:color="auto" w:fill="FFFF00"/>
        </w:rPr>
      </w:pPr>
      <w:r>
        <w:rPr>
          <w:shd w:val="clear" w:color="auto" w:fill="FFFF00"/>
        </w:rPr>
        <w:t>TODA ESTA PARTE GRIFADA PODE IR PARA A IN</w:t>
      </w:r>
    </w:p>
    <w:p w:rsidR="003C57B7" w:rsidRDefault="006574D9">
      <w:pPr>
        <w:pStyle w:val="Pargrafo"/>
      </w:pPr>
      <w:r>
        <w:rPr>
          <w:szCs w:val="22"/>
          <w:shd w:val="clear" w:color="auto" w:fill="FFFF00"/>
        </w:rPr>
        <w:t xml:space="preserve"> </w:t>
      </w:r>
      <w:r>
        <w:rPr>
          <w:shd w:val="clear" w:color="auto" w:fill="FFFF00"/>
        </w:rPr>
        <w:t>A análise do requerimento de anotação do curso será inici</w:t>
      </w:r>
      <w:r>
        <w:rPr>
          <w:shd w:val="clear" w:color="auto" w:fill="FFFF00"/>
        </w:rPr>
        <w:t>ada após a inclusão da documentação mencionada no art. 6º em arquivo</w:t>
      </w:r>
      <w:r>
        <w:rPr>
          <w:color w:val="FF0000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digital, em local próprio disponível no SICCAU; </w:t>
      </w:r>
    </w:p>
    <w:p w:rsidR="003C57B7" w:rsidRDefault="006574D9">
      <w:pPr>
        <w:pStyle w:val="Pargrafo"/>
        <w:numPr>
          <w:ilvl w:val="4"/>
          <w:numId w:val="5"/>
        </w:numPr>
        <w:jc w:val="both"/>
        <w:rPr>
          <w:shd w:val="clear" w:color="auto" w:fill="FFFF00"/>
        </w:rPr>
      </w:pPr>
      <w:r>
        <w:rPr>
          <w:shd w:val="clear" w:color="auto" w:fill="FFFF00"/>
        </w:rPr>
        <w:t>a análise da documentação deverá ser concluída pelo CAU/UF em um prazo de 60 (sessenta) dias após a apresentação da íntegra da documentaçã</w:t>
      </w:r>
      <w:r>
        <w:rPr>
          <w:shd w:val="clear" w:color="auto" w:fill="FFFF00"/>
        </w:rPr>
        <w:t xml:space="preserve">o; </w:t>
      </w:r>
    </w:p>
    <w:p w:rsidR="003C57B7" w:rsidRDefault="006574D9">
      <w:pPr>
        <w:pStyle w:val="Pargrafo"/>
        <w:numPr>
          <w:ilvl w:val="4"/>
          <w:numId w:val="6"/>
        </w:numPr>
        <w:jc w:val="both"/>
        <w:rPr>
          <w:shd w:val="clear" w:color="auto" w:fill="FFFF00"/>
        </w:rPr>
      </w:pPr>
      <w:r>
        <w:rPr>
          <w:shd w:val="clear" w:color="auto" w:fill="FFFF00"/>
        </w:rPr>
        <w:t>havendo necessidade de complementação de documentação, o profissional deverá ser comunicado via SICCAU, e terá prazo de 30 (trinta) dias para apresentação da documentação solicitada;</w:t>
      </w:r>
    </w:p>
    <w:p w:rsidR="003C57B7" w:rsidRDefault="006574D9">
      <w:pPr>
        <w:pStyle w:val="Pargrafo"/>
        <w:numPr>
          <w:ilvl w:val="4"/>
          <w:numId w:val="7"/>
        </w:numPr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 no caso de não apresentação da documentação solicitada no prazo disp</w:t>
      </w:r>
      <w:r>
        <w:rPr>
          <w:shd w:val="clear" w:color="auto" w:fill="FFFF00"/>
        </w:rPr>
        <w:t>osto no §2º, o requerimento poderá ser extinto pelo CAU/UF;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  <w:r>
        <w:rPr>
          <w:rFonts w:ascii="Times New Roman" w:hAnsi="Times New Roman"/>
          <w:sz w:val="22"/>
          <w:szCs w:val="22"/>
          <w:shd w:val="clear" w:color="auto" w:fill="FFFF00"/>
        </w:rPr>
        <w:t>§4º Ao finalizar a análise e fundamentar sua decisão, o CAU/UF pertinente deverá comunicar o profissional interessado sobre o deferimento ou indeferimento do pleito.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  <w:shd w:val="clear" w:color="auto" w:fill="FFFF00"/>
        </w:rPr>
        <w:lastRenderedPageBreak/>
        <w:t>§5º Em caso de indeferimento</w:t>
      </w:r>
      <w:r>
        <w:rPr>
          <w:rFonts w:ascii="Times New Roman" w:hAnsi="Times New Roman"/>
          <w:sz w:val="22"/>
          <w:szCs w:val="22"/>
          <w:shd w:val="clear" w:color="auto" w:fill="FFFF00"/>
        </w:rPr>
        <w:t xml:space="preserve"> do registro, caberá pedido de reconsideração da decisão proferida, desde que apresentados novos fatos e argumentos.</w:t>
      </w: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8º. A anotação do curso no prontuário de registro do arquiteto e urbanista e a atribuição de titularidade complementar para o exercíci</w:t>
      </w:r>
      <w:r>
        <w:rPr>
          <w:rFonts w:ascii="Times New Roman" w:hAnsi="Times New Roman"/>
          <w:sz w:val="22"/>
          <w:szCs w:val="22"/>
        </w:rPr>
        <w:t>o da especialização em Engenharia de Segurança do Trabalho somente será efetuada mediante a aprovação e deferimento do requerimento por parte do CAU/UF pertinente.</w:t>
      </w:r>
    </w:p>
    <w:p w:rsidR="003C57B7" w:rsidRDefault="003C57B7">
      <w:pPr>
        <w:autoSpaceDE w:val="0"/>
        <w:rPr>
          <w:rFonts w:ascii="Times New Roman" w:hAnsi="Times New Roman"/>
          <w:sz w:val="22"/>
          <w:szCs w:val="22"/>
        </w:rPr>
      </w:pPr>
    </w:p>
    <w:p w:rsidR="003C57B7" w:rsidRDefault="006574D9">
      <w:pPr>
        <w:autoSpaceDE w:val="0"/>
      </w:pPr>
      <w:r>
        <w:rPr>
          <w:rFonts w:ascii="Times New Roman" w:hAnsi="Times New Roman"/>
          <w:sz w:val="22"/>
          <w:szCs w:val="22"/>
        </w:rPr>
        <w:t xml:space="preserve">§1º </w:t>
      </w:r>
      <w:r>
        <w:rPr>
          <w:rFonts w:ascii="Times New Roman" w:hAnsi="Times New Roman"/>
          <w:sz w:val="22"/>
          <w:szCs w:val="22"/>
          <w:lang w:eastAsia="pt-BR"/>
        </w:rPr>
        <w:t xml:space="preserve">O título complementar a ser anotado no registro do profissional, certidões a serem </w:t>
      </w:r>
      <w:r>
        <w:rPr>
          <w:rFonts w:ascii="Times New Roman" w:hAnsi="Times New Roman"/>
          <w:sz w:val="22"/>
          <w:szCs w:val="22"/>
          <w:lang w:eastAsia="pt-BR"/>
        </w:rPr>
        <w:t>expedidas e na carteira de identificação profissional será: “Especialização de Engenheiro de Segurança do Trabalho”.</w:t>
      </w:r>
    </w:p>
    <w:p w:rsidR="003C57B7" w:rsidRDefault="003C57B7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9º. Os documentos, comunicações enviadas e recebidas, a decisão e a data de deferimento ou indeferimento ficarão registrados no SICC</w:t>
      </w:r>
      <w:r>
        <w:rPr>
          <w:rFonts w:ascii="Times New Roman" w:hAnsi="Times New Roman"/>
          <w:sz w:val="22"/>
          <w:szCs w:val="22"/>
        </w:rPr>
        <w:t>AU, no protocolo do requerimento.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III</w:t>
      </w: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ATIVIDADES NA ESPECIALIDADE DE ENGENHARIA DE SEGURANÇA DO TRABALHO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10. As atividades dos arquitetos e urbanistas no exercício da especialização de “Engenheiro de Segurança do Trabalho” são: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I- supe</w:t>
      </w:r>
      <w:r>
        <w:rPr>
          <w:rFonts w:ascii="Times New Roman" w:hAnsi="Times New Roman"/>
          <w:sz w:val="22"/>
          <w:szCs w:val="22"/>
        </w:rPr>
        <w:t>rvisão, coordenação e orientação técnica dos serviços de Engenharia de Segurança do Trabalho;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II- estudo das condições de segurança dos locais de trabalho e das instalações e equipamentos, com vistas especialmente aos problemas de controle de risco, contr</w:t>
      </w:r>
      <w:r>
        <w:rPr>
          <w:rFonts w:ascii="Times New Roman" w:hAnsi="Times New Roman"/>
          <w:sz w:val="22"/>
          <w:szCs w:val="22"/>
        </w:rPr>
        <w:t>ole de poluição, higiene do trabalho, ergonomia, proteção contra incêndio e saneamento;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III- planejamento, desenvolvimento e implantação de técnicas relativas a gerenciamento e controle de riscos;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IV- realização de vistorias, avaliações, perícias e arbit</w:t>
      </w:r>
      <w:r>
        <w:rPr>
          <w:rFonts w:ascii="Times New Roman" w:hAnsi="Times New Roman"/>
          <w:sz w:val="22"/>
          <w:szCs w:val="22"/>
        </w:rPr>
        <w:t>ramentos, emissão de parecer e laudos técnicos e indicação de medidas de controle sobre grau de exposição a agentes agressivos de riscos físicos, químicos e biológicos, tais como poluentes atmosféricos, ruídos, calor, radiação em geral e pressões anormais,</w:t>
      </w:r>
      <w:r>
        <w:rPr>
          <w:rFonts w:ascii="Times New Roman" w:hAnsi="Times New Roman"/>
          <w:sz w:val="22"/>
          <w:szCs w:val="22"/>
        </w:rPr>
        <w:t xml:space="preserve"> caracterizando as atividades, operações e locais insalubres e perigosos;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V- análise de riscos, acidentes e falhas, investigando causas, propondo medidas preventivas e corretivas e orientando trabalhos estatísticos, inclusive com respeito a custo;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VI- pr</w:t>
      </w:r>
      <w:r>
        <w:rPr>
          <w:rFonts w:ascii="Times New Roman" w:hAnsi="Times New Roman"/>
          <w:sz w:val="22"/>
          <w:szCs w:val="22"/>
        </w:rPr>
        <w:t>oposição de políticas, programas, normas e regulamentos de segurança do trabalho, zelando pela sua observância;</w:t>
      </w: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VII- elaboração de projetos de sistemas de segurança e assessoramento na elaboração de projetos de obras, instalações e equipamentos, opinando</w:t>
      </w:r>
      <w:r>
        <w:rPr>
          <w:rFonts w:ascii="Times New Roman" w:hAnsi="Times New Roman"/>
          <w:sz w:val="22"/>
          <w:szCs w:val="22"/>
        </w:rPr>
        <w:t xml:space="preserve"> do ponto de vista da Engenharia de Segurança do Trabalho;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VIII- estudo das instalações, máquinas e equipamentos, identificando seus pontos de risco e projetando dispositivos de segurança;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IX- projeto de sistemas de proteção contra incêndios, coordenação</w:t>
      </w:r>
      <w:r>
        <w:rPr>
          <w:rFonts w:ascii="Times New Roman" w:hAnsi="Times New Roman"/>
          <w:sz w:val="22"/>
          <w:szCs w:val="22"/>
        </w:rPr>
        <w:t xml:space="preserve"> de atividades de combate a incêndio e de salvamento e elaboração de planos para emergência e catástrofes;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X- inspeção de locais de trabalho no que se relaciona com a segurança do trabalho, delimitando áreas de periculosidade;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XI- especificação, controle</w:t>
      </w:r>
      <w:r>
        <w:rPr>
          <w:rFonts w:ascii="Times New Roman" w:hAnsi="Times New Roman"/>
          <w:sz w:val="22"/>
          <w:szCs w:val="22"/>
        </w:rPr>
        <w:t xml:space="preserve"> e fiscalização de sistemas de proteção coletiva e de equipamentos de segurança, inclusive os de proteção individual e os de proteção contra incêndio, assegurando-se de sua qualidade e eficiência;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XII- opinião e participação na especificação para aquisiçã</w:t>
      </w:r>
      <w:r>
        <w:rPr>
          <w:rFonts w:ascii="Times New Roman" w:hAnsi="Times New Roman"/>
          <w:sz w:val="22"/>
          <w:szCs w:val="22"/>
        </w:rPr>
        <w:t>o de substâncias e equipamentos cuja manipulação, armazenamento, transporte ou funcionamento possam apresentar riscos, acompanhando o controle do recebimento e da expedição;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XIII- elaboração de planos destinados a criar e desenvolver a prevenção de aciden</w:t>
      </w:r>
      <w:r>
        <w:rPr>
          <w:rFonts w:ascii="Times New Roman" w:hAnsi="Times New Roman"/>
          <w:sz w:val="22"/>
          <w:szCs w:val="22"/>
        </w:rPr>
        <w:t>tes, promovendo a instalação de comissões e assessorando-lhes o funcionamento;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XIV- orientação para o treinamento específico de segurança do trabalho e assessoramento na elaboração de programas de treinamento geral, no que diz respeito à segurança do trab</w:t>
      </w:r>
      <w:r>
        <w:rPr>
          <w:rFonts w:ascii="Times New Roman" w:hAnsi="Times New Roman"/>
          <w:sz w:val="22"/>
          <w:szCs w:val="22"/>
        </w:rPr>
        <w:t>alho;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XV- acompanhamento da execução de obras e serviços decorrentes da adoção de medidas de segurança, quando a complexidade dos trabalhos a executar assim o exigir;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XVI- colaboração na fixação de requisitos de aptidão para o exercício de funções, apont</w:t>
      </w:r>
      <w:r>
        <w:rPr>
          <w:rFonts w:ascii="Times New Roman" w:hAnsi="Times New Roman"/>
          <w:sz w:val="22"/>
          <w:szCs w:val="22"/>
        </w:rPr>
        <w:t>ando os riscos decorrentes desses exercícios;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XVII- proposição de medidas preventivas no campo da segurança do trabalho, em face do conhecimento da natureza e gravidade das lesões provenientes do acidente de trabalho, incluídas as doenças do trabalho;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</w:t>
      </w:r>
      <w:r>
        <w:rPr>
          <w:rFonts w:ascii="Times New Roman" w:hAnsi="Times New Roman"/>
          <w:sz w:val="22"/>
          <w:szCs w:val="22"/>
        </w:rPr>
        <w:t>III- informação aos trabalhadores e à comunidade, diretamente ou por meio de seus representantes, das condições que possam trazer danos a sua integridade e as medidas que eliminem ou atenuem estes riscos e que deverão ser tomadas;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XIX- outras atividades d</w:t>
      </w:r>
      <w:r>
        <w:rPr>
          <w:rFonts w:ascii="Times New Roman" w:hAnsi="Times New Roman"/>
          <w:sz w:val="22"/>
          <w:szCs w:val="22"/>
        </w:rPr>
        <w:t>estinadas a prevenir riscos à integridade da pessoa humana e a promover a proteção à saúde do trabalhador no ambiente de trabalho.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11. No exercício das atividades de especialização da Engenharia de Segurança do Trabalho, o arquiteto e urbanista efetu</w:t>
      </w:r>
      <w:r>
        <w:rPr>
          <w:rFonts w:ascii="Times New Roman" w:hAnsi="Times New Roman"/>
          <w:sz w:val="22"/>
          <w:szCs w:val="22"/>
        </w:rPr>
        <w:t>ará o Registro de Responsabilidade Técnica (RRT) no CAU, nos termos da Resolução CAU/BR específica sobre RRT e em conformidade com as atividades técnicas previstas no item 7 - Engenharia de Segurança do Trabalho - do art. 3º da Resolução CAU/BR nº 21, de 2</w:t>
      </w:r>
      <w:r>
        <w:rPr>
          <w:rFonts w:ascii="Times New Roman" w:hAnsi="Times New Roman"/>
          <w:sz w:val="22"/>
          <w:szCs w:val="22"/>
        </w:rPr>
        <w:t>012.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</w:rPr>
        <w:t xml:space="preserve">Parágrafo único. As atividades técnicas pertencentes ao item 7 – Engenharia de Segurança do Trabalho -  do art. 3º da Resolução CAU/BR nº 21, de 2012, poderão ser inseridas no mesmo RRT Simples juntamente com atividades pertencentes a </w:t>
      </w:r>
      <w:r>
        <w:rPr>
          <w:rFonts w:ascii="Times New Roman" w:hAnsi="Times New Roman"/>
          <w:b/>
          <w:sz w:val="22"/>
          <w:szCs w:val="22"/>
        </w:rPr>
        <w:t>um</w:t>
      </w:r>
      <w:r>
        <w:rPr>
          <w:rFonts w:ascii="Times New Roman" w:hAnsi="Times New Roman"/>
          <w:sz w:val="22"/>
          <w:szCs w:val="22"/>
        </w:rPr>
        <w:t xml:space="preserve"> dos itens 1 </w:t>
      </w:r>
      <w:r>
        <w:rPr>
          <w:rFonts w:ascii="Times New Roman" w:hAnsi="Times New Roman"/>
          <w:sz w:val="22"/>
          <w:szCs w:val="22"/>
        </w:rPr>
        <w:t>a 5 (Grupos: Projeto, Execução, Gestão, Meio Ambiente e Planejamento Regional e Urbano e Atividades Especiais), com exceção da atividade 3.7 – Desempenho de Cargo ou Função Técnica.</w:t>
      </w: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  <w:shd w:val="clear" w:color="auto" w:fill="FFFF00"/>
        </w:rPr>
        <w:t>(</w:t>
      </w:r>
      <w:r>
        <w:rPr>
          <w:rFonts w:ascii="Times New Roman" w:hAnsi="Times New Roman"/>
          <w:sz w:val="22"/>
          <w:szCs w:val="22"/>
          <w:u w:val="single"/>
          <w:shd w:val="clear" w:color="auto" w:fill="FFFF00"/>
        </w:rPr>
        <w:t>explicação</w:t>
      </w:r>
      <w:r>
        <w:rPr>
          <w:rFonts w:ascii="Times New Roman" w:hAnsi="Times New Roman"/>
          <w:sz w:val="22"/>
          <w:szCs w:val="22"/>
          <w:shd w:val="clear" w:color="auto" w:fill="FFFF00"/>
        </w:rPr>
        <w:t>: o RRT só pode conter atividade de 1 grupo por vez + o grupo 7</w:t>
      </w: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  <w:shd w:val="clear" w:color="auto" w:fill="FFFF00"/>
        </w:rPr>
        <w:t>Portanto o profissional poderá escolher no mesmo RRT Simples um dos grupos 1 a 5 + o grupo 7 - por exemplo: ele poderá registrar no mesmo RRT a responsabilidade pela atividade “</w:t>
      </w:r>
      <w:r>
        <w:rPr>
          <w:rFonts w:ascii="Times New Roman" w:hAnsi="Times New Roman"/>
          <w:i/>
          <w:sz w:val="22"/>
          <w:szCs w:val="22"/>
          <w:shd w:val="clear" w:color="auto" w:fill="FFFF00"/>
        </w:rPr>
        <w:t>1.5.5 - Projeto de instalações prediais de prevenção e combate a incêndio</w:t>
      </w:r>
      <w:r>
        <w:rPr>
          <w:rFonts w:ascii="Times New Roman" w:hAnsi="Times New Roman"/>
          <w:sz w:val="22"/>
          <w:szCs w:val="22"/>
          <w:shd w:val="clear" w:color="auto" w:fill="FFFF00"/>
        </w:rPr>
        <w:t>”, qu</w:t>
      </w:r>
      <w:r>
        <w:rPr>
          <w:rFonts w:ascii="Times New Roman" w:hAnsi="Times New Roman"/>
          <w:sz w:val="22"/>
          <w:szCs w:val="22"/>
          <w:shd w:val="clear" w:color="auto" w:fill="FFFF00"/>
        </w:rPr>
        <w:t>e pertence grupo 1, e a atividade 7.8.5 – Medidas de Proteção contra incêndios, que pertence ao grupo 7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IV</w:t>
      </w: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DISPOSIÇÕES FINAIS E TRANSITÓRIAS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12. Constatado que as informações fornecidas pelo profissional são inverídicas, este ficará su</w:t>
      </w:r>
      <w:r>
        <w:rPr>
          <w:rFonts w:ascii="Times New Roman" w:hAnsi="Times New Roman"/>
          <w:sz w:val="22"/>
          <w:szCs w:val="22"/>
        </w:rPr>
        <w:t>jeito à autuação por infração à legislação reguladora da profissão e por falta ética, sujeitando-se às cominações legais e regulamentares aplicáveis.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pStyle w:val="Corpodetexto"/>
        <w:spacing w:after="0"/>
        <w:jc w:val="both"/>
      </w:pPr>
      <w:r>
        <w:t xml:space="preserve">Parágrafo único. Para apuração e constatação da infração legal ou da falta ética de que trata o </w:t>
      </w:r>
      <w:r>
        <w:rPr>
          <w:i/>
        </w:rPr>
        <w:t>caput</w:t>
      </w:r>
      <w:r>
        <w:t xml:space="preserve"> do </w:t>
      </w:r>
      <w:r>
        <w:t>artigo, deverá ser instaurado o processo administrativo e seguidos os ritos processuais dispostos nos normativos próprios do CAU/BR que tratam dos processos fiscalizatórios e éticos-disciplinares.</w:t>
      </w:r>
    </w:p>
    <w:p w:rsidR="003C57B7" w:rsidRDefault="003C57B7">
      <w:pPr>
        <w:pStyle w:val="Corpodetexto"/>
        <w:spacing w:after="0"/>
        <w:jc w:val="both"/>
      </w:pPr>
    </w:p>
    <w:p w:rsidR="003C57B7" w:rsidRDefault="006574D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Art. 13. O arquiteto e urbanista que já possui o curso de </w:t>
      </w:r>
      <w:r>
        <w:rPr>
          <w:rFonts w:ascii="Times New Roman" w:hAnsi="Times New Roman"/>
          <w:sz w:val="22"/>
          <w:szCs w:val="22"/>
          <w:lang w:eastAsia="pt-BR"/>
        </w:rPr>
        <w:t>especialização em Engenharia de Segurança do Trabalho registrado no CAU e a Carteira de Identificação Profissional emitida, poderá solicitar a troca da sua carteira no CAU/UF pertinente, de forma a atender a nomenclatura “Especialização de Engenheiro de Se</w:t>
      </w:r>
      <w:r>
        <w:rPr>
          <w:rFonts w:ascii="Times New Roman" w:hAnsi="Times New Roman"/>
          <w:sz w:val="22"/>
          <w:szCs w:val="22"/>
          <w:lang w:eastAsia="pt-BR"/>
        </w:rPr>
        <w:t>gurança do Trabalho”, por meio do requerimento de 2ª via de carteira, nos termos da Resolução CAU/BR específica sobre a emissão de Carteiras de Identificação Profissional.</w:t>
      </w: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14. A anotação da especialidade de Engenhario de Segurança no Trabalho passa a </w:t>
      </w:r>
      <w:r>
        <w:rPr>
          <w:rFonts w:ascii="Times New Roman" w:hAnsi="Times New Roman"/>
          <w:sz w:val="22"/>
          <w:szCs w:val="22"/>
        </w:rPr>
        <w:t>ser regulamentada por esta Resolução.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15. Revoga-se a Resolução CAU/BR nº 10, de 16 de janeiro de 2012.</w:t>
      </w:r>
    </w:p>
    <w:p w:rsidR="003C57B7" w:rsidRDefault="003C57B7">
      <w:pPr>
        <w:jc w:val="both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16. Esta Resolução entra em vigor em </w:t>
      </w:r>
      <w:r>
        <w:rPr>
          <w:rFonts w:ascii="Times New Roman" w:hAnsi="Times New Roman"/>
          <w:sz w:val="22"/>
          <w:szCs w:val="22"/>
          <w:shd w:val="clear" w:color="auto" w:fill="FFFF00"/>
        </w:rPr>
        <w:t>dd de mmmmm</w:t>
      </w:r>
      <w:r>
        <w:rPr>
          <w:rFonts w:ascii="Times New Roman" w:hAnsi="Times New Roman"/>
          <w:sz w:val="22"/>
          <w:szCs w:val="22"/>
        </w:rPr>
        <w:t xml:space="preserve"> de 2018. </w:t>
      </w:r>
      <w:r>
        <w:rPr>
          <w:rFonts w:ascii="Times New Roman" w:hAnsi="Times New Roman"/>
          <w:sz w:val="22"/>
          <w:szCs w:val="22"/>
          <w:shd w:val="clear" w:color="auto" w:fill="FFFF00"/>
        </w:rPr>
        <w:t>*</w:t>
      </w:r>
    </w:p>
    <w:p w:rsidR="003C57B7" w:rsidRDefault="003C57B7">
      <w:pPr>
        <w:jc w:val="both"/>
        <w:rPr>
          <w:rFonts w:ascii="Times New Roman" w:hAnsi="Times New Roman"/>
          <w:color w:val="0033CC"/>
          <w:sz w:val="22"/>
          <w:szCs w:val="22"/>
        </w:rPr>
      </w:pPr>
    </w:p>
    <w:p w:rsidR="003C57B7" w:rsidRDefault="006574D9">
      <w:pPr>
        <w:jc w:val="right"/>
      </w:pPr>
      <w:r>
        <w:rPr>
          <w:rFonts w:ascii="Times New Roman" w:hAnsi="Times New Roman"/>
          <w:i/>
          <w:sz w:val="22"/>
          <w:szCs w:val="22"/>
          <w:shd w:val="clear" w:color="auto" w:fill="FFFF00"/>
        </w:rPr>
        <w:t>* prazo estimado para implantação das adequações do SICCAU</w:t>
      </w:r>
    </w:p>
    <w:p w:rsidR="003C57B7" w:rsidRDefault="003C57B7">
      <w:pPr>
        <w:jc w:val="center"/>
        <w:rPr>
          <w:rFonts w:ascii="Times New Roman" w:hAnsi="Times New Roman"/>
          <w:sz w:val="22"/>
          <w:szCs w:val="22"/>
        </w:rPr>
      </w:pPr>
    </w:p>
    <w:p w:rsidR="003C57B7" w:rsidRDefault="003C57B7">
      <w:pPr>
        <w:jc w:val="center"/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center"/>
      </w:pPr>
      <w:r>
        <w:rPr>
          <w:rFonts w:ascii="Times New Roman" w:hAnsi="Times New Roman"/>
          <w:sz w:val="22"/>
          <w:szCs w:val="22"/>
        </w:rPr>
        <w:t xml:space="preserve">Brasília, </w:t>
      </w:r>
      <w:r>
        <w:rPr>
          <w:rFonts w:ascii="Times New Roman" w:hAnsi="Times New Roman"/>
          <w:sz w:val="22"/>
          <w:szCs w:val="22"/>
          <w:shd w:val="clear" w:color="auto" w:fill="FFFF00"/>
        </w:rPr>
        <w:t xml:space="preserve">DD de </w:t>
      </w:r>
      <w:r>
        <w:rPr>
          <w:rFonts w:ascii="Times New Roman" w:hAnsi="Times New Roman"/>
          <w:sz w:val="22"/>
          <w:szCs w:val="22"/>
          <w:shd w:val="clear" w:color="auto" w:fill="FFFF00"/>
        </w:rPr>
        <w:t>MMMMM</w:t>
      </w:r>
      <w:r>
        <w:rPr>
          <w:rFonts w:ascii="Times New Roman" w:hAnsi="Times New Roman"/>
          <w:sz w:val="22"/>
          <w:szCs w:val="22"/>
        </w:rPr>
        <w:t xml:space="preserve"> de 2018</w:t>
      </w:r>
    </w:p>
    <w:p w:rsidR="003C57B7" w:rsidRDefault="003C57B7">
      <w:pPr>
        <w:rPr>
          <w:rFonts w:ascii="Times New Roman" w:hAnsi="Times New Roman"/>
          <w:sz w:val="22"/>
          <w:szCs w:val="22"/>
        </w:rPr>
      </w:pPr>
    </w:p>
    <w:p w:rsidR="003C57B7" w:rsidRDefault="003C57B7">
      <w:pPr>
        <w:rPr>
          <w:rFonts w:ascii="Times New Roman" w:hAnsi="Times New Roman"/>
          <w:sz w:val="22"/>
          <w:szCs w:val="22"/>
        </w:rPr>
      </w:pPr>
    </w:p>
    <w:p w:rsidR="003C57B7" w:rsidRDefault="003C57B7">
      <w:pPr>
        <w:rPr>
          <w:rFonts w:ascii="Times New Roman" w:hAnsi="Times New Roman"/>
          <w:sz w:val="22"/>
          <w:szCs w:val="22"/>
        </w:rPr>
      </w:pP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LUCIANO GUIMARÃES</w:t>
      </w:r>
    </w:p>
    <w:p w:rsidR="003C57B7" w:rsidRDefault="006574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 do CAU/BR</w:t>
      </w:r>
    </w:p>
    <w:p w:rsidR="003C57B7" w:rsidRDefault="003C57B7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3C57B7">
      <w:headerReference w:type="default" r:id="rId9"/>
      <w:footerReference w:type="default" r:id="rId10"/>
      <w:pgSz w:w="11900" w:h="16840"/>
      <w:pgMar w:top="1843" w:right="845" w:bottom="1701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74D9">
      <w:r>
        <w:separator/>
      </w:r>
    </w:p>
  </w:endnote>
  <w:endnote w:type="continuationSeparator" w:id="0">
    <w:p w:rsidR="00000000" w:rsidRDefault="0065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EE" w:rsidRDefault="006574D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6156289</wp:posOffset>
              </wp:positionH>
              <wp:positionV relativeFrom="paragraph">
                <wp:posOffset>548</wp:posOffset>
              </wp:positionV>
              <wp:extent cx="793059" cy="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05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211EE" w:rsidRDefault="006574D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466E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466E7A"/>
                              <w:sz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466E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466E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466E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4.75pt;margin-top:.05pt;width:62.4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TmngEAADMDAAAOAAAAZHJzL2Uyb0RvYy54bWysUttu2zAMfR/QfxD03sjNsEuNOMW2oMOA&#10;YSvQ7gMUWYoFSKIgqrHz96MUOy22t2EvFEVSh+eQ2txN3rGjTmghdPxm1XCmg4LehkPHfz3dX3/k&#10;DLMMvXQQdMdPGvnd9urNZoytXsMArteJEUjAdowdH3KOrRCoBu0lriDqQEkDyctM13QQfZIjoXsn&#10;1k3zXoyQ+phAaUSK7s5Jvq34xmiVfxqDOjPXceKWq03V7osV241sD0nGwaqZhvwHFl7aQE0vUDuZ&#10;JXtO9i8ob1UCBJNXCrwAY6zSVQOpuWn+UPM4yKirFhoOxsuY8P/Bqh/Hh8Rs3/E1Z0F6WtEXaSfJ&#10;es2ynjKwdZnRGLGl0sdIxXn6DBPteokjBYv0ySRfThLFKE/TPl0mTEhMUfDD7dvm3S1nakmJl3cx&#10;Yf6qwbPidDzR7upI5fE7ZuJApUtJaeNCsQHurXN1iyW5kzicS0taFNpnesXL036ateyhP5EU9y3Q&#10;LMu/WJy0OPvZKU0wfnrO1KiyKEjn53MD2kwlN/+isvrX91r18te3vwEAAP//AwBQSwMEFAAGAAgA&#10;AAAhAOq1P8vYAAAABgEAAA8AAABkcnMvZG93bnJldi54bWxMjsFOwzAQRO9I/QdrK3FB1ElVIhLi&#10;VFUFF24ULty28ZJE2OsodpPQr8c5wXH0RjOv3M/WiJEG3zlWkG4SEMS10x03Cj7eX+4fQfiArNE4&#10;JgU/5GFfrW5KLLSb+I3GU2hEHGFfoII2hL6Q0tctWfQb1xNH9uUGiyHGoZF6wCmOWyO3SZJJix3H&#10;hxZ7OrZUf58uVkE2P/d3rzltp2ttRv68pmmgVKnb9Xx4AhFoDn9lWPSjOlTR6ewurL0wCvIsf4jV&#10;BYgFJ/luB+K8ZFmV8r9+9QsAAP//AwBQSwECLQAUAAYACAAAACEAtoM4kv4AAADhAQAAEwAAAAAA&#10;AAAAAAAAAAAAAAAAW0NvbnRlbnRfVHlwZXNdLnhtbFBLAQItABQABgAIAAAAIQA4/SH/1gAAAJQB&#10;AAALAAAAAAAAAAAAAAAAAC8BAABfcmVscy8ucmVsc1BLAQItABQABgAIAAAAIQDeQ3TmngEAADMD&#10;AAAOAAAAAAAAAAAAAAAAAC4CAABkcnMvZTJvRG9jLnhtbFBLAQItABQABgAIAAAAIQDqtT/L2AAA&#10;AAYBAAAPAAAAAAAAAAAAAAAAAPgDAABkcnMvZG93bnJldi54bWxQSwUGAAAAAAQABADzAAAA/QQA&#10;AAAA&#10;" filled="f" stroked="f">
              <v:textbox style="mso-fit-shape-to-text:t" inset="0,0,0,0">
                <w:txbxContent>
                  <w:p w:rsidR="00B211EE" w:rsidRDefault="006574D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466E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466E7A"/>
                        <w:sz w:val="18"/>
                      </w:rPr>
                      <w:instrText xml:space="preserve"> PAGE \* ARABIC </w:instrText>
                    </w:r>
                    <w:r>
                      <w:rPr>
                        <w:rStyle w:val="Nmerodepgina"/>
                        <w:rFonts w:ascii="Arial" w:hAnsi="Arial"/>
                        <w:color w:val="466E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466E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466E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00FF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-989966</wp:posOffset>
          </wp:positionH>
          <wp:positionV relativeFrom="paragraph">
            <wp:posOffset>-604518</wp:posOffset>
          </wp:positionV>
          <wp:extent cx="7552687" cy="1095378"/>
          <wp:effectExtent l="0" t="0" r="0" b="9522"/>
          <wp:wrapNone/>
          <wp:docPr id="3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87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7616</wp:posOffset>
          </wp:positionH>
          <wp:positionV relativeFrom="paragraph">
            <wp:posOffset>9754233</wp:posOffset>
          </wp:positionV>
          <wp:extent cx="7547613" cy="1081406"/>
          <wp:effectExtent l="0" t="0" r="0" b="4444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00FF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74D9">
      <w:r>
        <w:rPr>
          <w:color w:val="000000"/>
        </w:rPr>
        <w:separator/>
      </w:r>
    </w:p>
  </w:footnote>
  <w:footnote w:type="continuationSeparator" w:id="0">
    <w:p w:rsidR="00000000" w:rsidRDefault="0065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EE" w:rsidRDefault="006574D9">
    <w:pPr>
      <w:pStyle w:val="Rodap"/>
      <w:jc w:val="right"/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-1012826</wp:posOffset>
          </wp:positionH>
          <wp:positionV relativeFrom="paragraph">
            <wp:posOffset>-845189</wp:posOffset>
          </wp:positionV>
          <wp:extent cx="7578720" cy="1080765"/>
          <wp:effectExtent l="0" t="0" r="3180" b="5085"/>
          <wp:wrapNone/>
          <wp:docPr id="1" name="Imagem 11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211EE" w:rsidRDefault="006574D9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648"/>
    <w:multiLevelType w:val="multilevel"/>
    <w:tmpl w:val="192C0510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Pargrafo"/>
      <w:lvlText w:val="§ %5º"/>
      <w:lvlJc w:val="left"/>
      <w:pPr>
        <w:ind w:left="141" w:firstLine="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AA9043D"/>
    <w:multiLevelType w:val="multilevel"/>
    <w:tmpl w:val="6B02CB82"/>
    <w:styleLink w:val="LFO2"/>
    <w:lvl w:ilvl="0">
      <w:start w:val="1"/>
      <w:numFmt w:val="decimal"/>
      <w:pStyle w:val="1034-Artigo"/>
      <w:lvlText w:val="Art. %1"/>
      <w:lvlJc w:val="left"/>
      <w:pPr>
        <w:ind w:left="8505" w:firstLine="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A536FF3"/>
    <w:multiLevelType w:val="multilevel"/>
    <w:tmpl w:val="1DEA1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DC2"/>
    <w:multiLevelType w:val="multilevel"/>
    <w:tmpl w:val="FA6C90A0"/>
    <w:styleLink w:val="LFO3"/>
    <w:lvl w:ilvl="0">
      <w:start w:val="1"/>
      <w:numFmt w:val="upperRoman"/>
      <w:pStyle w:val="1034-Inciso"/>
      <w:lvlText w:val="%1 - "/>
      <w:lvlJc w:val="left"/>
      <w:pPr>
        <w:ind w:left="1702" w:firstLine="0"/>
      </w:pPr>
      <w:rPr>
        <w:rFonts w:ascii="Verdana" w:hAnsi="Verdana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57B7"/>
    <w:rsid w:val="003C57B7"/>
    <w:rsid w:val="006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5">
    <w:name w:val="heading 5"/>
    <w:basedOn w:val="Normal"/>
    <w:next w:val="Normal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Artigo">
    <w:name w:val="Artigo"/>
    <w:basedOn w:val="Normal"/>
    <w:next w:val="Corpodetexto"/>
    <w:pPr>
      <w:tabs>
        <w:tab w:val="left" w:pos="360"/>
        <w:tab w:val="left" w:pos="709"/>
      </w:tabs>
      <w:spacing w:before="240"/>
      <w:outlineLvl w:val="3"/>
    </w:pPr>
    <w:rPr>
      <w:rFonts w:ascii="Times New Roman" w:hAnsi="Times New Roman"/>
      <w:color w:val="000000"/>
      <w:sz w:val="22"/>
    </w:rPr>
  </w:style>
  <w:style w:type="paragraph" w:customStyle="1" w:styleId="Pargrafo">
    <w:name w:val="Parágrafo"/>
    <w:basedOn w:val="Ttulo5"/>
    <w:pPr>
      <w:numPr>
        <w:ilvl w:val="4"/>
        <w:numId w:val="1"/>
      </w:numPr>
      <w:tabs>
        <w:tab w:val="left" w:pos="285"/>
        <w:tab w:val="left" w:pos="426"/>
        <w:tab w:val="left" w:pos="568"/>
        <w:tab w:val="left" w:pos="710"/>
      </w:tabs>
      <w:spacing w:before="240" w:after="60"/>
      <w:jc w:val="left"/>
    </w:pPr>
    <w:rPr>
      <w:rFonts w:ascii="Times New Roman" w:eastAsia="Cambria" w:hAnsi="Times New Roman" w:cs="Times New Roman"/>
      <w:color w:val="000000"/>
      <w:spacing w:val="0"/>
      <w:sz w:val="22"/>
      <w:szCs w:val="24"/>
      <w:lang w:val="pt-BR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Ttulo5Char">
    <w:name w:val="Título 5 Char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character" w:customStyle="1" w:styleId="Ttulo6Char">
    <w:name w:val="Título 6 Char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tulo8Char">
    <w:name w:val="Título 8 Char"/>
    <w:rPr>
      <w:rFonts w:ascii="Calibri" w:eastAsia="Times New Roman" w:hAnsi="Calibri"/>
      <w:i/>
      <w:iCs/>
      <w:sz w:val="24"/>
      <w:szCs w:val="24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styleId="Nmerodepgina">
    <w:name w:val="page number"/>
    <w:basedOn w:val="Fontepargpadro"/>
  </w:style>
  <w:style w:type="paragraph" w:styleId="TextosemFormatao">
    <w:name w:val="Plain Text"/>
    <w:basedOn w:val="Normal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pPr>
      <w:ind w:left="720"/>
    </w:p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rPr>
      <w:lang w:eastAsia="en-US"/>
    </w:rPr>
  </w:style>
  <w:style w:type="character" w:styleId="Refdenotadefim">
    <w:name w:val="endnote reference"/>
    <w:rPr>
      <w:position w:val="0"/>
      <w:vertAlign w:val="superscript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pPr>
      <w:suppressAutoHyphens/>
    </w:pPr>
    <w:rPr>
      <w:sz w:val="24"/>
      <w:szCs w:val="24"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Recuodecorpodetexto">
    <w:name w:val="Body Text Indent"/>
    <w:basedOn w:val="Normal"/>
    <w:pPr>
      <w:ind w:firstLine="1701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/>
      <w:sz w:val="22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/>
      <w:sz w:val="22"/>
    </w:rPr>
  </w:style>
  <w:style w:type="character" w:customStyle="1" w:styleId="CorpodetextoChar">
    <w:name w:val="Corpo de texto Char"/>
    <w:basedOn w:val="Fontepargpadro"/>
    <w:rPr>
      <w:rFonts w:ascii="Times New Roman" w:hAnsi="Times New Roman"/>
      <w:sz w:val="22"/>
      <w:szCs w:val="24"/>
      <w:lang w:eastAsia="en-US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customStyle="1" w:styleId="1034-Considerandos">
    <w:name w:val="1034 - Considerandos"/>
    <w:pPr>
      <w:suppressAutoHyphens/>
      <w:spacing w:before="120" w:after="120"/>
      <w:ind w:firstLine="1134"/>
      <w:jc w:val="both"/>
    </w:pPr>
    <w:rPr>
      <w:rFonts w:ascii="Verdana" w:eastAsia="Times New Roman" w:hAnsi="Verdana"/>
      <w:color w:val="000000"/>
    </w:rPr>
  </w:style>
  <w:style w:type="paragraph" w:customStyle="1" w:styleId="1034-Artigo">
    <w:name w:val="1034 - Artigo"/>
    <w:pPr>
      <w:numPr>
        <w:numId w:val="2"/>
      </w:numPr>
      <w:suppressAutoHyphens/>
      <w:spacing w:before="120" w:after="120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pPr>
      <w:numPr>
        <w:numId w:val="3"/>
      </w:numPr>
      <w:suppressAutoHyphens/>
      <w:spacing w:before="120" w:after="120"/>
      <w:jc w:val="both"/>
    </w:pPr>
    <w:rPr>
      <w:rFonts w:ascii="Verdana" w:eastAsia="Times New Roman" w:hAnsi="Verdana"/>
      <w:color w:val="000000"/>
    </w:rPr>
  </w:style>
  <w:style w:type="character" w:customStyle="1" w:styleId="ArtigoChar">
    <w:name w:val="Artigo Char"/>
    <w:rPr>
      <w:rFonts w:ascii="Times New Roman" w:hAnsi="Times New Roman"/>
      <w:color w:val="000000"/>
      <w:sz w:val="22"/>
      <w:szCs w:val="24"/>
      <w:lang w:eastAsia="en-US"/>
    </w:rPr>
  </w:style>
  <w:style w:type="character" w:customStyle="1" w:styleId="PargrafoChar">
    <w:name w:val="Parágrafo Char"/>
    <w:rPr>
      <w:rFonts w:ascii="Times New Roman" w:hAnsi="Times New Roman"/>
      <w:color w:val="000000"/>
      <w:sz w:val="22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numbering" w:customStyle="1" w:styleId="LFO2">
    <w:name w:val="LFO2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5">
    <w:name w:val="heading 5"/>
    <w:basedOn w:val="Normal"/>
    <w:next w:val="Normal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Artigo">
    <w:name w:val="Artigo"/>
    <w:basedOn w:val="Normal"/>
    <w:next w:val="Corpodetexto"/>
    <w:pPr>
      <w:tabs>
        <w:tab w:val="left" w:pos="360"/>
        <w:tab w:val="left" w:pos="709"/>
      </w:tabs>
      <w:spacing w:before="240"/>
      <w:outlineLvl w:val="3"/>
    </w:pPr>
    <w:rPr>
      <w:rFonts w:ascii="Times New Roman" w:hAnsi="Times New Roman"/>
      <w:color w:val="000000"/>
      <w:sz w:val="22"/>
    </w:rPr>
  </w:style>
  <w:style w:type="paragraph" w:customStyle="1" w:styleId="Pargrafo">
    <w:name w:val="Parágrafo"/>
    <w:basedOn w:val="Ttulo5"/>
    <w:pPr>
      <w:numPr>
        <w:ilvl w:val="4"/>
        <w:numId w:val="1"/>
      </w:numPr>
      <w:tabs>
        <w:tab w:val="left" w:pos="285"/>
        <w:tab w:val="left" w:pos="426"/>
        <w:tab w:val="left" w:pos="568"/>
        <w:tab w:val="left" w:pos="710"/>
      </w:tabs>
      <w:spacing w:before="240" w:after="60"/>
      <w:jc w:val="left"/>
    </w:pPr>
    <w:rPr>
      <w:rFonts w:ascii="Times New Roman" w:eastAsia="Cambria" w:hAnsi="Times New Roman" w:cs="Times New Roman"/>
      <w:color w:val="000000"/>
      <w:spacing w:val="0"/>
      <w:sz w:val="22"/>
      <w:szCs w:val="24"/>
      <w:lang w:val="pt-BR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Ttulo5Char">
    <w:name w:val="Título 5 Char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character" w:customStyle="1" w:styleId="Ttulo6Char">
    <w:name w:val="Título 6 Char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tulo8Char">
    <w:name w:val="Título 8 Char"/>
    <w:rPr>
      <w:rFonts w:ascii="Calibri" w:eastAsia="Times New Roman" w:hAnsi="Calibri"/>
      <w:i/>
      <w:iCs/>
      <w:sz w:val="24"/>
      <w:szCs w:val="24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styleId="Nmerodepgina">
    <w:name w:val="page number"/>
    <w:basedOn w:val="Fontepargpadro"/>
  </w:style>
  <w:style w:type="paragraph" w:styleId="TextosemFormatao">
    <w:name w:val="Plain Text"/>
    <w:basedOn w:val="Normal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pPr>
      <w:ind w:left="720"/>
    </w:p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rPr>
      <w:lang w:eastAsia="en-US"/>
    </w:rPr>
  </w:style>
  <w:style w:type="character" w:styleId="Refdenotadefim">
    <w:name w:val="endnote reference"/>
    <w:rPr>
      <w:position w:val="0"/>
      <w:vertAlign w:val="superscript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pPr>
      <w:suppressAutoHyphens/>
    </w:pPr>
    <w:rPr>
      <w:sz w:val="24"/>
      <w:szCs w:val="24"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Recuodecorpodetexto">
    <w:name w:val="Body Text Indent"/>
    <w:basedOn w:val="Normal"/>
    <w:pPr>
      <w:ind w:firstLine="1701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/>
      <w:sz w:val="22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/>
      <w:sz w:val="22"/>
    </w:rPr>
  </w:style>
  <w:style w:type="character" w:customStyle="1" w:styleId="CorpodetextoChar">
    <w:name w:val="Corpo de texto Char"/>
    <w:basedOn w:val="Fontepargpadro"/>
    <w:rPr>
      <w:rFonts w:ascii="Times New Roman" w:hAnsi="Times New Roman"/>
      <w:sz w:val="22"/>
      <w:szCs w:val="24"/>
      <w:lang w:eastAsia="en-US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customStyle="1" w:styleId="1034-Considerandos">
    <w:name w:val="1034 - Considerandos"/>
    <w:pPr>
      <w:suppressAutoHyphens/>
      <w:spacing w:before="120" w:after="120"/>
      <w:ind w:firstLine="1134"/>
      <w:jc w:val="both"/>
    </w:pPr>
    <w:rPr>
      <w:rFonts w:ascii="Verdana" w:eastAsia="Times New Roman" w:hAnsi="Verdana"/>
      <w:color w:val="000000"/>
    </w:rPr>
  </w:style>
  <w:style w:type="paragraph" w:customStyle="1" w:styleId="1034-Artigo">
    <w:name w:val="1034 - Artigo"/>
    <w:pPr>
      <w:numPr>
        <w:numId w:val="2"/>
      </w:numPr>
      <w:suppressAutoHyphens/>
      <w:spacing w:before="120" w:after="120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pPr>
      <w:numPr>
        <w:numId w:val="3"/>
      </w:numPr>
      <w:suppressAutoHyphens/>
      <w:spacing w:before="120" w:after="120"/>
      <w:jc w:val="both"/>
    </w:pPr>
    <w:rPr>
      <w:rFonts w:ascii="Verdana" w:eastAsia="Times New Roman" w:hAnsi="Verdana"/>
      <w:color w:val="000000"/>
    </w:rPr>
  </w:style>
  <w:style w:type="character" w:customStyle="1" w:styleId="ArtigoChar">
    <w:name w:val="Artigo Char"/>
    <w:rPr>
      <w:rFonts w:ascii="Times New Roman" w:hAnsi="Times New Roman"/>
      <w:color w:val="000000"/>
      <w:sz w:val="22"/>
      <w:szCs w:val="24"/>
      <w:lang w:eastAsia="en-US"/>
    </w:rPr>
  </w:style>
  <w:style w:type="character" w:customStyle="1" w:styleId="PargrafoChar">
    <w:name w:val="Parágrafo Char"/>
    <w:rPr>
      <w:rFonts w:ascii="Times New Roman" w:hAnsi="Times New Roman"/>
      <w:color w:val="000000"/>
      <w:sz w:val="22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numbering" w:customStyle="1" w:styleId="LFO2">
    <w:name w:val="LFO2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L%204.657-1942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3032</Words>
  <Characters>16376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Claúdia de Mattos Quaresma</dc:creator>
  <cp:lastModifiedBy>Ana Carolina Alcantara Ayres</cp:lastModifiedBy>
  <cp:revision>2</cp:revision>
  <cp:lastPrinted>2017-10-24T13:21:00Z</cp:lastPrinted>
  <dcterms:created xsi:type="dcterms:W3CDTF">2019-07-18T18:56:00Z</dcterms:created>
  <dcterms:modified xsi:type="dcterms:W3CDTF">2019-07-18T18:56:00Z</dcterms:modified>
</cp:coreProperties>
</file>