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9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764"/>
        <w:gridCol w:w="7426"/>
      </w:tblGrid>
      <w:tr w:rsidR="001615DA">
        <w:tblPrEx>
          <w:tblCellMar>
            <w:top w:w="0" w:type="dxa"/>
            <w:bottom w:w="0" w:type="dxa"/>
          </w:tblCellMar>
        </w:tblPrEx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1615DA" w:rsidRDefault="001C1212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PROCESSO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1615DA" w:rsidRDefault="001C1212">
            <w:pPr>
              <w:widowControl w:val="0"/>
            </w:pPr>
            <w:r>
              <w:rPr>
                <w:rFonts w:ascii="Times New Roman" w:hAnsi="Times New Roman"/>
                <w:sz w:val="22"/>
                <w:szCs w:val="22"/>
              </w:rPr>
              <w:t>SICCAU nº 363532/2017</w:t>
            </w:r>
          </w:p>
        </w:tc>
      </w:tr>
      <w:tr w:rsidR="001615DA">
        <w:tblPrEx>
          <w:tblCellMar>
            <w:top w:w="0" w:type="dxa"/>
            <w:bottom w:w="0" w:type="dxa"/>
          </w:tblCellMar>
        </w:tblPrEx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1615DA" w:rsidRDefault="001C1212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1615DA" w:rsidRDefault="001C1212">
            <w:pPr>
              <w:spacing w:line="276" w:lineRule="auto"/>
              <w:ind w:left="1843" w:hanging="1843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CEF-CAU/BR, CAUs/UF e IES</w:t>
            </w:r>
          </w:p>
        </w:tc>
      </w:tr>
      <w:tr w:rsidR="001615DA">
        <w:tblPrEx>
          <w:tblCellMar>
            <w:top w:w="0" w:type="dxa"/>
            <w:bottom w:w="0" w:type="dxa"/>
          </w:tblCellMar>
        </w:tblPrEx>
        <w:trPr>
          <w:cantSplit/>
          <w:trHeight w:val="283"/>
          <w:jc w:val="center"/>
        </w:trPr>
        <w:tc>
          <w:tcPr>
            <w:tcW w:w="1764" w:type="dxa"/>
            <w:tcBorders>
              <w:top w:val="single" w:sz="4" w:space="0" w:color="7F7F7F"/>
              <w:bottom w:val="single" w:sz="4" w:space="0" w:color="7F7F7F"/>
              <w:right w:val="single" w:sz="4" w:space="0" w:color="7F7F7F"/>
            </w:tcBorders>
            <w:shd w:val="clear" w:color="auto" w:fill="F2F2F2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1615DA" w:rsidRDefault="001C1212">
            <w:pP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7426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</w:tcBorders>
            <w:shd w:val="clear" w:color="auto" w:fill="auto"/>
            <w:tcMar>
              <w:top w:w="0" w:type="dxa"/>
              <w:left w:w="113" w:type="dxa"/>
              <w:bottom w:w="0" w:type="dxa"/>
              <w:right w:w="113" w:type="dxa"/>
            </w:tcMar>
            <w:vAlign w:val="center"/>
          </w:tcPr>
          <w:p w:rsidR="001615DA" w:rsidRDefault="001C1212">
            <w:pPr>
              <w:jc w:val="both"/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Solicitações de Cadastro, Importação de Listas de Egressos.</w:t>
            </w:r>
          </w:p>
        </w:tc>
      </w:tr>
    </w:tbl>
    <w:p w:rsidR="001615DA" w:rsidRDefault="001C1212">
      <w:pPr>
        <w:pBdr>
          <w:top w:val="single" w:sz="8" w:space="1" w:color="7F7F7F"/>
          <w:bottom w:val="single" w:sz="8" w:space="1" w:color="7F7F7F"/>
        </w:pBdr>
        <w:shd w:val="clear" w:color="auto" w:fill="F2F2F2"/>
        <w:spacing w:after="240"/>
        <w:jc w:val="center"/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</w:pPr>
      <w:r>
        <w:rPr>
          <w:rFonts w:ascii="Times New Roman" w:eastAsia="Times New Roman" w:hAnsi="Times New Roman"/>
          <w:b/>
          <w:smallCaps/>
          <w:sz w:val="22"/>
          <w:szCs w:val="22"/>
          <w:lang w:eastAsia="pt-BR"/>
        </w:rPr>
        <w:t>DELIBERAÇÃO Nº 002/2018 – CEF-CAU/BR</w:t>
      </w:r>
    </w:p>
    <w:p w:rsidR="001615DA" w:rsidRDefault="001C1212">
      <w:pPr>
        <w:jc w:val="both"/>
      </w:pP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A 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COMISSÃO DE ENSINO E FORMAÇÃO – CEF-CAU/BR, reunida </w:t>
      </w:r>
      <w:r>
        <w:fldChar w:fldCharType="begin"/>
      </w:r>
      <w:r>
        <w:instrText xml:space="preserve"> MERGEFIELD Tipo_advérbio </w:instrText>
      </w:r>
      <w:r>
        <w:fldChar w:fldCharType="separate"/>
      </w:r>
      <w:r>
        <w:t>ordinariamente</w:t>
      </w:r>
      <w:r>
        <w:fldChar w:fldCharType="end"/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em </w:t>
      </w:r>
      <w:r>
        <w:fldChar w:fldCharType="begin"/>
      </w:r>
      <w:r>
        <w:instrText xml:space="preserve"> MERGEFIELD Cidade </w:instrText>
      </w:r>
      <w:r>
        <w:fldChar w:fldCharType="separate"/>
      </w:r>
      <w:r>
        <w:t>Brasília</w:t>
      </w:r>
      <w:r>
        <w:fldChar w:fldCharType="end"/>
      </w:r>
      <w:r>
        <w:rPr>
          <w:rFonts w:ascii="Times New Roman" w:eastAsia="Times New Roman" w:hAnsi="Times New Roman"/>
          <w:sz w:val="22"/>
          <w:szCs w:val="22"/>
          <w:lang w:eastAsia="pt-BR"/>
        </w:rPr>
        <w:t>-</w:t>
      </w:r>
      <w:r>
        <w:fldChar w:fldCharType="begin"/>
      </w:r>
      <w:r>
        <w:instrText xml:space="preserve"> MERGEFIELD UF </w:instrText>
      </w:r>
      <w:r>
        <w:fldChar w:fldCharType="separate"/>
      </w:r>
      <w:r>
        <w:t>DF</w:t>
      </w:r>
      <w:r>
        <w:fldChar w:fldCharType="end"/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, na </w:t>
      </w:r>
      <w:r>
        <w:fldChar w:fldCharType="begin"/>
      </w:r>
      <w:r>
        <w:instrText xml:space="preserve"> MERGEFIELD Local </w:instrText>
      </w:r>
      <w:r>
        <w:fldChar w:fldCharType="separate"/>
      </w:r>
      <w:r>
        <w:t>Sede do CAU/BR</w:t>
      </w:r>
      <w:r>
        <w:fldChar w:fldCharType="end"/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, nos dias </w:t>
      </w:r>
      <w:r>
        <w:fldChar w:fldCharType="begin"/>
      </w:r>
      <w:r>
        <w:instrText xml:space="preserve"> MERGEFIELD Dia_1 </w:instrText>
      </w:r>
      <w:r>
        <w:fldChar w:fldCharType="separate"/>
      </w:r>
      <w:r>
        <w:t>1</w:t>
      </w:r>
      <w:r>
        <w:fldChar w:fldCharType="end"/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e </w:t>
      </w:r>
      <w:r>
        <w:fldChar w:fldCharType="begin"/>
      </w:r>
      <w:r>
        <w:instrText xml:space="preserve"> MERGEFIELD Dia_2 </w:instrText>
      </w:r>
      <w:r>
        <w:fldChar w:fldCharType="separate"/>
      </w:r>
      <w:r>
        <w:t>2</w:t>
      </w:r>
      <w:r>
        <w:fldChar w:fldCharType="end"/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de </w:t>
      </w:r>
      <w:r>
        <w:fldChar w:fldCharType="begin"/>
      </w:r>
      <w:r>
        <w:instrText xml:space="preserve"> MERGEFIELD mês_dia_2 </w:instrText>
      </w:r>
      <w:r>
        <w:fldChar w:fldCharType="separate"/>
      </w:r>
      <w:r>
        <w:t>fevereiro</w:t>
      </w:r>
      <w:r>
        <w:fldChar w:fldCharType="end"/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de </w:t>
      </w:r>
      <w:r>
        <w:fldChar w:fldCharType="begin"/>
      </w:r>
      <w:r>
        <w:instrText xml:space="preserve"> MERGEFIELD ano1 </w:instrText>
      </w:r>
      <w:r>
        <w:fldChar w:fldCharType="separate"/>
      </w:r>
      <w:r>
        <w:t>2018</w:t>
      </w:r>
      <w:r>
        <w:fldChar w:fldCharType="end"/>
      </w:r>
      <w:r>
        <w:rPr>
          <w:rFonts w:ascii="Times New Roman" w:eastAsia="Times New Roman" w:hAnsi="Times New Roman"/>
          <w:sz w:val="22"/>
          <w:szCs w:val="22"/>
          <w:lang w:eastAsia="pt-BR"/>
        </w:rPr>
        <w:t>, no uso das competências que lhe conferem o art. 99 do Regimento Interno do CAU/BR, após análise do assunto em epígrafe, e</w:t>
      </w:r>
    </w:p>
    <w:p w:rsidR="001615DA" w:rsidRDefault="001C1212">
      <w:pPr>
        <w:pStyle w:val="texto1"/>
        <w:jc w:val="both"/>
        <w:rPr>
          <w:sz w:val="22"/>
          <w:szCs w:val="22"/>
        </w:rPr>
      </w:pPr>
      <w:r>
        <w:rPr>
          <w:sz w:val="22"/>
          <w:szCs w:val="22"/>
        </w:rPr>
        <w:t>Considerando que art. 4º da Lei 12378, de 31 de dezembro de 20</w:t>
      </w:r>
      <w:bookmarkStart w:id="0" w:name="_GoBack"/>
      <w:bookmarkEnd w:id="0"/>
      <w:r>
        <w:rPr>
          <w:sz w:val="22"/>
          <w:szCs w:val="22"/>
        </w:rPr>
        <w:t xml:space="preserve">10, </w:t>
      </w:r>
      <w:r>
        <w:rPr>
          <w:sz w:val="22"/>
          <w:szCs w:val="22"/>
        </w:rPr>
        <w:t>determina que o CAU/BR organizará e manterá atualizado cadastro nacional das escolas e faculdades de arquitetura e urbanismo, incluindo o currículo de todos os cursos oferecidos e os projetos pedagógicos. </w:t>
      </w:r>
    </w:p>
    <w:p w:rsidR="001615DA" w:rsidRDefault="001C1212">
      <w:pPr>
        <w:pStyle w:val="texto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Considerando que o art. 6º da Lei 12378, de 31 de </w:t>
      </w:r>
      <w:r>
        <w:rPr>
          <w:sz w:val="22"/>
          <w:szCs w:val="22"/>
        </w:rPr>
        <w:t>dezembro de 2010, determina que são requisitos para o registro capacidade civil e diploma de graduação em arquitetura e urbanismo, obtido em instituição de ensino superior oficialmente reconhecida pelo poder público.</w:t>
      </w:r>
    </w:p>
    <w:p w:rsidR="001615DA" w:rsidRDefault="001C1212">
      <w:pPr>
        <w:pStyle w:val="texto1"/>
        <w:jc w:val="both"/>
        <w:rPr>
          <w:sz w:val="22"/>
          <w:szCs w:val="22"/>
        </w:rPr>
      </w:pPr>
      <w:r>
        <w:rPr>
          <w:sz w:val="22"/>
          <w:szCs w:val="22"/>
        </w:rPr>
        <w:t>Considerando que o Decreto nº 9.235, de</w:t>
      </w:r>
      <w:r>
        <w:rPr>
          <w:sz w:val="22"/>
          <w:szCs w:val="22"/>
        </w:rPr>
        <w:t xml:space="preserve"> 15 de dezembro de 2017, que dispõe sobre o exercício das funções de regulação, supervisão e avaliação das instituições de educação superior e dos cursos superiores de graduação e de pós-graduação no sistema federal de ensino, e revoga o art. 15 do Decreto</w:t>
      </w:r>
      <w:r>
        <w:rPr>
          <w:sz w:val="22"/>
          <w:szCs w:val="22"/>
        </w:rPr>
        <w:t xml:space="preserve"> nº 6.861, de 27 de maio de 2009; o Decreto nº 5.773, de 9 de maio de 2006; o Decreto nº 5.786, de 24 de maio de 2006; o Decreto nº 6.303, de 12 de dezembro de 2007; o Decreto nº 8.142, de 21 de novembro de 2013; e o Decreto nº 8.754, de 10 de maio de 2016</w:t>
      </w:r>
      <w:r>
        <w:rPr>
          <w:sz w:val="22"/>
          <w:szCs w:val="22"/>
        </w:rPr>
        <w:t>.nº 5773 2006;</w:t>
      </w:r>
    </w:p>
    <w:p w:rsidR="001615DA" w:rsidRDefault="001C1212">
      <w:pPr>
        <w:pStyle w:val="texto1"/>
        <w:jc w:val="both"/>
        <w:rPr>
          <w:sz w:val="22"/>
          <w:szCs w:val="22"/>
        </w:rPr>
      </w:pPr>
      <w:r>
        <w:rPr>
          <w:sz w:val="22"/>
          <w:szCs w:val="22"/>
        </w:rPr>
        <w:t>Considerando que o Decreto nº 9.235/2017, em seu artigo 11, determina que o Ministério da Educação definirá calendário anual de abertura do protocolo de ingresso e conclusão de processos regulatórios em sistema próprio, para fins de expediçã</w:t>
      </w:r>
      <w:r>
        <w:rPr>
          <w:sz w:val="22"/>
          <w:szCs w:val="22"/>
        </w:rPr>
        <w:t>o dos atos autorizativos e de suas modificações, e que o protocolo de pedido de recredenciamento de IES e de reconhecimento e de renovação de reconhecimento de curso superior, antes do vencimento do ato autorizativo anterior, prorroga automaticamente a val</w:t>
      </w:r>
      <w:r>
        <w:rPr>
          <w:sz w:val="22"/>
          <w:szCs w:val="22"/>
        </w:rPr>
        <w:t>idade do ato autorizativo (grifo nosso) até a conclusão do processo e a publicação de Portaria;</w:t>
      </w:r>
    </w:p>
    <w:p w:rsidR="001615DA" w:rsidRDefault="001C1212">
      <w:pPr>
        <w:pStyle w:val="texto1"/>
        <w:jc w:val="both"/>
        <w:rPr>
          <w:sz w:val="22"/>
          <w:szCs w:val="22"/>
        </w:rPr>
      </w:pPr>
      <w:r>
        <w:rPr>
          <w:sz w:val="22"/>
          <w:szCs w:val="22"/>
        </w:rPr>
        <w:t>Considerando ainda que o artigo 45 do Decreto 9235/2017 que determina que o reconhecimento e o registro de curso são condições necessárias à validade nacional d</w:t>
      </w:r>
      <w:r>
        <w:rPr>
          <w:sz w:val="22"/>
          <w:szCs w:val="22"/>
        </w:rPr>
        <w:t>os diplomas; que o reconhecimento de curso presencial na sede não se estende às unidades fora de sede, para registro do diploma ou qualquer outro fim e que o reconhecimento de curso presencial em determinado Município se estende às unidades educacionais lo</w:t>
      </w:r>
      <w:r>
        <w:rPr>
          <w:sz w:val="22"/>
          <w:szCs w:val="22"/>
        </w:rPr>
        <w:t>calizadas no mesmo Município, para registro do diploma ou qualquer outro fim;</w:t>
      </w:r>
    </w:p>
    <w:p w:rsidR="001615DA" w:rsidRDefault="001C1212">
      <w:pPr>
        <w:pStyle w:val="texto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Considerando o Parecer CNE/CES nº 475/2005, que conclui que para os efeitos das normas educacionais e relativamente às instituições de ensino superior – mantidas – o conceito de </w:t>
      </w:r>
      <w:r>
        <w:rPr>
          <w:sz w:val="22"/>
          <w:szCs w:val="22"/>
        </w:rPr>
        <w:t>sede refere-se sempre aos limites do município; que no caso das instituições de ensino superior credenciadas para atuarem no Distrito Federal, considera-se “sede” todas as áreas abrangidas nos limites de seu território; e que nada impede o funcionamento, n</w:t>
      </w:r>
      <w:r>
        <w:rPr>
          <w:sz w:val="22"/>
          <w:szCs w:val="22"/>
        </w:rPr>
        <w:t>o mesmo município, em locais distintos, de uma mesma IES credenciada desde que a autorização de seus cursos e a ampliação de vagas sejam submetidas ao Poder Público.</w:t>
      </w:r>
    </w:p>
    <w:p w:rsidR="001615DA" w:rsidRDefault="001C1212">
      <w:pPr>
        <w:pStyle w:val="texto1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Considerando a Portaria Normativa nº 40, de 12 de dezembro de 2007, que institui o e-MEC, </w:t>
      </w:r>
      <w:r>
        <w:rPr>
          <w:sz w:val="22"/>
          <w:szCs w:val="22"/>
        </w:rPr>
        <w:t>sistema eletrônico de fluxo de trabalho e gerenciamento de informações relativas aos processos de regulação da educação superior no sistema federal de educação;</w:t>
      </w:r>
      <w:r>
        <w:rPr>
          <w:sz w:val="22"/>
          <w:szCs w:val="22"/>
        </w:rPr>
        <w:tab/>
        <w:t xml:space="preserve"> </w:t>
      </w:r>
    </w:p>
    <w:p w:rsidR="001615DA" w:rsidRDefault="001C1212">
      <w:pPr>
        <w:pStyle w:val="texto1"/>
        <w:jc w:val="both"/>
        <w:rPr>
          <w:sz w:val="22"/>
          <w:szCs w:val="22"/>
        </w:rPr>
      </w:pPr>
      <w:r>
        <w:rPr>
          <w:sz w:val="22"/>
          <w:szCs w:val="22"/>
        </w:rPr>
        <w:t>Considerando que o Decreto nº 9.235, de 15 de dezembro de 2017, em seu art. 72 considera irre</w:t>
      </w:r>
      <w:r>
        <w:rPr>
          <w:sz w:val="22"/>
          <w:szCs w:val="22"/>
        </w:rPr>
        <w:t>gularidade administrativa, passíveis de aplicação de penalidades, a prestação de informações falsas ao Ministério da Educação e omissão ou distorção de dados fornecidos aos cadastros e sistemas oficiais da educação superior, especialmente o Cadastro Nacion</w:t>
      </w:r>
      <w:r>
        <w:rPr>
          <w:sz w:val="22"/>
          <w:szCs w:val="22"/>
        </w:rPr>
        <w:t>al de Cursos e Instituições de Educação Superior - Cadastro e-MEC; e que conforme art. 103 as IES, independentemente do seu sistema de ensino, manterão seus dados atualizados junto ao Cadastro e-MEC, mantido pelo Ministério da Educação.</w:t>
      </w:r>
    </w:p>
    <w:p w:rsidR="001615DA" w:rsidRDefault="001C1212">
      <w:pPr>
        <w:pStyle w:val="texto1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Considerando que o </w:t>
      </w:r>
      <w:r>
        <w:rPr>
          <w:sz w:val="22"/>
          <w:szCs w:val="22"/>
        </w:rPr>
        <w:t>CAU/BR possui acesso no sistema e-MEC às informações necessárias para o cálculo da tempestividade do protocolo de reconhecimento dos cursos conforme Acordo de Cooperação Técnica firmado com o MEC;</w:t>
      </w:r>
    </w:p>
    <w:p w:rsidR="001615DA" w:rsidRDefault="001C1212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Considerando as Deliberações 63/2015, 64/2015, 65/2015 CEF-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CAU/BR que aprovam metodologias para Cadastro de Cursos no CAU/BR; e a Deliberação 001/2018 CEF-CAU/BR que orienta a execução do Cálculo de Tempestividade para os Cursos de Arquitetura e Urbanismo;</w:t>
      </w:r>
    </w:p>
    <w:p w:rsidR="001615DA" w:rsidRDefault="001C1212">
      <w:pPr>
        <w:pStyle w:val="texto1"/>
        <w:jc w:val="both"/>
        <w:rPr>
          <w:sz w:val="22"/>
          <w:szCs w:val="22"/>
        </w:rPr>
      </w:pPr>
      <w:r>
        <w:rPr>
          <w:sz w:val="22"/>
          <w:szCs w:val="22"/>
        </w:rPr>
        <w:t>Considerando que o art. 99 do Regimento Interno do CAU/BR,</w:t>
      </w:r>
      <w:r>
        <w:rPr>
          <w:sz w:val="22"/>
          <w:szCs w:val="22"/>
        </w:rPr>
        <w:t xml:space="preserve"> aprovado pela Resolução CAU/BR nº 139/2017, determina que compete a Comissão de Ensino e Formação CEF-CAU/BR propor, apreciar e deliberar sobre atos normativos de ensino e formação referentes ao Cadastro Nacional dos Cursos de Arquitetura e Urbanismo;</w:t>
      </w:r>
    </w:p>
    <w:p w:rsidR="001615DA" w:rsidRDefault="001C1212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Con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siderando as competências previstas na Resolução CAU/BR nº 139/2017, que determina que compete a Comissão de Ensino e Formação do CAU/UF monitorar a oferta de cursos de graduação em Arquitetura e Urbanismo, encaminhando ao CAU/BR informações pertinentes ao</w:t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Cadastro Nacional dos Cursos de Arquitetura e Urbanismo;</w:t>
      </w:r>
    </w:p>
    <w:p w:rsidR="001615DA" w:rsidRDefault="001615DA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1615DA" w:rsidRDefault="001C1212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Considerando a necessidade de normatização dos procedimentos de cadastro de cursos e orientação aos CAU/UF até a publicação de Resolução específica de cadastro;</w:t>
      </w:r>
    </w:p>
    <w:p w:rsidR="001615DA" w:rsidRDefault="001615DA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1615DA" w:rsidRDefault="001C1212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  <w:r>
        <w:rPr>
          <w:rFonts w:ascii="Times New Roman" w:eastAsia="Times New Roman" w:hAnsi="Times New Roman"/>
          <w:sz w:val="22"/>
          <w:szCs w:val="22"/>
          <w:lang w:eastAsia="pt-BR"/>
        </w:rPr>
        <w:t>Considerando o §2º do art. 61 da le</w:t>
      </w:r>
      <w:r>
        <w:rPr>
          <w:rFonts w:ascii="Times New Roman" w:eastAsia="Times New Roman" w:hAnsi="Times New Roman"/>
          <w:sz w:val="22"/>
          <w:szCs w:val="22"/>
          <w:lang w:eastAsia="pt-BR"/>
        </w:rPr>
        <w:t>i 12378/2010, que determina a articulação do CAU/BR com as Comissões de Ensino e Formação dos CAUs/UFs por intermédio do conselheiro federal representante das instituições de ensino superior (IES).</w:t>
      </w:r>
    </w:p>
    <w:p w:rsidR="001615DA" w:rsidRDefault="001615DA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tbl>
      <w:tblPr>
        <w:tblW w:w="946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464"/>
      </w:tblGrid>
      <w:tr w:rsidR="001615DA">
        <w:tblPrEx>
          <w:tblCellMar>
            <w:top w:w="0" w:type="dxa"/>
            <w:bottom w:w="0" w:type="dxa"/>
          </w:tblCellMar>
        </w:tblPrEx>
        <w:trPr>
          <w:trHeight w:val="567"/>
        </w:trPr>
        <w:tc>
          <w:tcPr>
            <w:tcW w:w="9464" w:type="dxa"/>
            <w:tcBorders>
              <w:top w:val="single" w:sz="2" w:space="0" w:color="FFFFFF"/>
              <w:left w:val="single" w:sz="2" w:space="0" w:color="FFFFFF"/>
              <w:bottom w:val="single" w:sz="2" w:space="0" w:color="FFFFFF"/>
              <w:right w:val="single" w:sz="2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15DA" w:rsidRDefault="001C1212">
            <w:pPr>
              <w:jc w:val="both"/>
              <w:rPr>
                <w:rFonts w:ascii="Times New Roman" w:eastAsia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sz w:val="22"/>
                <w:szCs w:val="22"/>
                <w:lang w:eastAsia="pt-BR"/>
              </w:rPr>
              <w:t>DELIBERA:</w:t>
            </w:r>
          </w:p>
          <w:p w:rsidR="001615DA" w:rsidRDefault="001615DA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1615DA" w:rsidRDefault="001C1212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Que a inserção de dados de curso de Arquitetur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a e Urbanismo, para fins de cumprimento do Art. 4º da Lei 12378/2010, será feito independente do cadastro do mesmo, sendo o curso considerado apenas como INSERIDO; </w:t>
            </w:r>
          </w:p>
          <w:p w:rsidR="001615DA" w:rsidRDefault="001615DA">
            <w:pPr>
              <w:ind w:left="360"/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1615DA" w:rsidRDefault="001C1212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Que o curso de Arquitetura e Urbanismo, para ser considerado CADASTRADO junto ao CAU/BR, d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everá ter portaria de reconhecimento do curso publicada ou cálculo de tempestividade aprovado pela CEF-CAU/BR, e seguir o disposto nas Deliberações 63/2015, 64/2015 e 65/2015 CEF-CAU/BR e respectivos tutoriais anexos, sendo o SICCAU o meio de comunicação o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ficial para finalidade de cadastro;</w:t>
            </w:r>
          </w:p>
          <w:p w:rsidR="001615DA" w:rsidRDefault="001615DA">
            <w:pPr>
              <w:pStyle w:val="PargrafodaLista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1615DA" w:rsidRDefault="001C1212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Que o acesso a funcionalidades e programas oferecidos pelo CAU/BR e CAUs/UF, tais como importação de Lista de Egressos, Matriz de Mobilidade e do Exercício Profissional, Acreditação de Cursos deverão ser 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disponibilizados apenas a curso CADASTRADO, e sugerir que iniciativas de premiação de cursos ou egressos promovidos pelos CAU/UF deverão ser disponibilizados apenas o curso CADASTRADO;</w:t>
            </w:r>
          </w:p>
          <w:p w:rsidR="001615DA" w:rsidRDefault="001615DA">
            <w:pPr>
              <w:ind w:left="360"/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1615DA" w:rsidRDefault="001C1212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Aprovar a tela constante do Anexo I desta Deliberação como instrumento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 para a análise, inserção e alteração de dados de Cadastro de Cursos, a serem atualizados pela Assessoria da CEF-CAU/BR em Banco de Dados próprio e disponibilizados aos CAU/UF após Deliberação da CEF-CAU/BR;</w:t>
            </w:r>
          </w:p>
          <w:p w:rsidR="001615DA" w:rsidRDefault="001615DA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shd w:val="clear" w:color="auto" w:fill="FFFF00"/>
                <w:lang w:eastAsia="pt-BR"/>
              </w:rPr>
            </w:pPr>
          </w:p>
          <w:p w:rsidR="001615DA" w:rsidRDefault="001C1212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Aprovar o Fluxo Ilustrativo do Cadastro de 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Cursos constante do Anexo II desta Deliberação;</w:t>
            </w:r>
          </w:p>
          <w:p w:rsidR="001615DA" w:rsidRDefault="001615DA">
            <w:pPr>
              <w:pStyle w:val="PargrafodaLista"/>
              <w:rPr>
                <w:rFonts w:ascii="Times New Roman" w:eastAsia="Times New Roman" w:hAnsi="Times New Roman"/>
                <w:sz w:val="22"/>
                <w:szCs w:val="22"/>
                <w:shd w:val="clear" w:color="auto" w:fill="FFFF00"/>
                <w:lang w:eastAsia="pt-BR"/>
              </w:rPr>
            </w:pPr>
          </w:p>
          <w:p w:rsidR="001615DA" w:rsidRDefault="001C1212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Revogar o disposto na Deliberação 51/2016 CEF-CAU/BR e o disposto no item 2 da Deliberação 42/2016 CEF-CAU/BR;</w:t>
            </w:r>
          </w:p>
          <w:p w:rsidR="001615DA" w:rsidRDefault="001615DA">
            <w:pPr>
              <w:pStyle w:val="PargrafodaLista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1615DA" w:rsidRDefault="001C1212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Solicitar o compartilhamento do conteúdo desta deliberação com as assessorias das Comissões de 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Ensino e Formação dos CAU/UF, por intermédio do conselheiro representante das IES;</w:t>
            </w:r>
          </w:p>
          <w:p w:rsidR="001615DA" w:rsidRDefault="001615DA">
            <w:pPr>
              <w:pStyle w:val="PargrafodaLista"/>
              <w:ind w:left="0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  <w:p w:rsidR="001615DA" w:rsidRDefault="001C1212">
            <w:pPr>
              <w:numPr>
                <w:ilvl w:val="0"/>
                <w:numId w:val="1"/>
              </w:numPr>
              <w:jc w:val="both"/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Enviar esta deliberação à Presidência do CAU/BR para conhecimento e tomada das seguintes providências: 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br/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a) Informar a Presidência e Comissão de Ensino e Formação dos CAU/UF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 acerca do conteúdo desta deliberação.</w:t>
            </w:r>
          </w:p>
        </w:tc>
      </w:tr>
    </w:tbl>
    <w:p w:rsidR="001615DA" w:rsidRDefault="001615DA">
      <w:pPr>
        <w:autoSpaceDE w:val="0"/>
        <w:spacing w:line="276" w:lineRule="auto"/>
        <w:rPr>
          <w:rFonts w:ascii="Times New Roman" w:hAnsi="Times New Roman"/>
          <w:sz w:val="22"/>
          <w:szCs w:val="22"/>
          <w:u w:val="single"/>
        </w:rPr>
      </w:pPr>
    </w:p>
    <w:p w:rsidR="001615DA" w:rsidRDefault="001C1212">
      <w:pPr>
        <w:jc w:val="center"/>
      </w:pPr>
      <w:r>
        <w:fldChar w:fldCharType="begin"/>
      </w:r>
      <w:r>
        <w:instrText xml:space="preserve"> MERGEFIELD Cidade </w:instrText>
      </w:r>
      <w:r>
        <w:fldChar w:fldCharType="separate"/>
      </w:r>
      <w:r>
        <w:t>Brasília</w:t>
      </w:r>
      <w:r>
        <w:fldChar w:fldCharType="end"/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– </w:t>
      </w:r>
      <w:r>
        <w:fldChar w:fldCharType="begin"/>
      </w:r>
      <w:r>
        <w:instrText xml:space="preserve"> MERGEFIELD UF </w:instrText>
      </w:r>
      <w:r>
        <w:fldChar w:fldCharType="separate"/>
      </w:r>
      <w:r>
        <w:t>DF</w:t>
      </w:r>
      <w:r>
        <w:fldChar w:fldCharType="end"/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, 02 de </w:t>
      </w:r>
      <w:r>
        <w:fldChar w:fldCharType="begin"/>
      </w:r>
      <w:r>
        <w:instrText xml:space="preserve"> MERGEFIELD mês_dia_2 </w:instrText>
      </w:r>
      <w:r>
        <w:fldChar w:fldCharType="separate"/>
      </w:r>
      <w:r>
        <w:t>fevereiro</w:t>
      </w:r>
      <w:r>
        <w:fldChar w:fldCharType="end"/>
      </w:r>
      <w:r>
        <w:rPr>
          <w:rFonts w:ascii="Times New Roman" w:eastAsia="Times New Roman" w:hAnsi="Times New Roman"/>
          <w:sz w:val="22"/>
          <w:szCs w:val="22"/>
          <w:lang w:eastAsia="pt-BR"/>
        </w:rPr>
        <w:t xml:space="preserve"> de </w:t>
      </w:r>
      <w:r>
        <w:fldChar w:fldCharType="begin"/>
      </w:r>
      <w:r>
        <w:instrText xml:space="preserve"> MERGEFIELD ano1 </w:instrText>
      </w:r>
      <w:r>
        <w:fldChar w:fldCharType="separate"/>
      </w:r>
      <w:r>
        <w:t>2018</w:t>
      </w:r>
      <w:r>
        <w:fldChar w:fldCharType="end"/>
      </w:r>
      <w:r>
        <w:rPr>
          <w:rFonts w:ascii="Times New Roman" w:eastAsia="Times New Roman" w:hAnsi="Times New Roman"/>
          <w:sz w:val="22"/>
          <w:szCs w:val="22"/>
          <w:lang w:eastAsia="pt-BR"/>
        </w:rPr>
        <w:t>.</w:t>
      </w:r>
    </w:p>
    <w:p w:rsidR="001615DA" w:rsidRDefault="001615DA">
      <w:pPr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1615DA" w:rsidRDefault="001615DA">
      <w:pPr>
        <w:ind w:firstLine="1701"/>
        <w:jc w:val="both"/>
        <w:rPr>
          <w:rFonts w:ascii="Times New Roman" w:eastAsia="Times New Roman" w:hAnsi="Times New Roman"/>
          <w:sz w:val="22"/>
          <w:szCs w:val="22"/>
          <w:lang w:eastAsia="pt-BR"/>
        </w:rPr>
      </w:pPr>
    </w:p>
    <w:tbl>
      <w:tblPr>
        <w:tblW w:w="9353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76"/>
        <w:gridCol w:w="4677"/>
      </w:tblGrid>
      <w:tr w:rsidR="001615DA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15DA" w:rsidRDefault="001C1212">
            <w:pPr>
              <w:autoSpaceDE w:val="0"/>
            </w:pPr>
            <w:r>
              <w:fldChar w:fldCharType="begin"/>
            </w:r>
            <w:r>
              <w:instrText xml:space="preserve"> MERGEFIELD Coordenador </w:instrText>
            </w:r>
            <w:r>
              <w:fldChar w:fldCharType="separate"/>
            </w:r>
            <w:r>
              <w:t>Andrea Vilella</w:t>
            </w:r>
            <w:r>
              <w:fldChar w:fldCharType="end"/>
            </w:r>
          </w:p>
          <w:p w:rsidR="001615DA" w:rsidRDefault="001C1212">
            <w:pPr>
              <w:autoSpaceDE w:val="0"/>
            </w:pPr>
            <w:r>
              <w:fldChar w:fldCharType="begin"/>
            </w:r>
            <w:r>
              <w:instrText xml:space="preserve"> MERGEFIELD cargo1 </w:instrText>
            </w:r>
            <w:r>
              <w:fldChar w:fldCharType="separate"/>
            </w:r>
            <w:r>
              <w:t>Coordenadora</w:t>
            </w:r>
            <w:r>
              <w:fldChar w:fldCharType="end"/>
            </w:r>
          </w:p>
          <w:p w:rsidR="001615DA" w:rsidRDefault="001615DA">
            <w:pPr>
              <w:autoSpaceDE w:val="0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15DA" w:rsidRDefault="001C1212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1615DA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15DA" w:rsidRDefault="001C1212">
            <w:pPr>
              <w:jc w:val="both"/>
            </w:pPr>
            <w:r>
              <w:fldChar w:fldCharType="begin"/>
            </w:r>
            <w:r>
              <w:instrText xml:space="preserve"> MERGEFIELD Coordenador_adjunto </w:instrText>
            </w:r>
            <w:r>
              <w:fldChar w:fldCharType="separate"/>
            </w:r>
            <w:r>
              <w:t>Hélio Cavalcanti da Costa Lima</w:t>
            </w:r>
            <w:r>
              <w:fldChar w:fldCharType="end"/>
            </w:r>
          </w:p>
          <w:p w:rsidR="001615DA" w:rsidRDefault="001C1212">
            <w:pPr>
              <w:jc w:val="both"/>
            </w:pPr>
            <w:r>
              <w:fldChar w:fldCharType="begin"/>
            </w:r>
            <w:r>
              <w:instrText xml:space="preserve"> MERGEFIELD cargo2 </w:instrText>
            </w:r>
            <w:r>
              <w:fldChar w:fldCharType="separate"/>
            </w:r>
            <w:r>
              <w:t>Coordenador-Adjunto</w:t>
            </w:r>
            <w:r>
              <w:fldChar w:fldCharType="end"/>
            </w:r>
          </w:p>
          <w:p w:rsidR="001615DA" w:rsidRDefault="001615DA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15DA" w:rsidRDefault="001C1212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1615DA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15DA" w:rsidRDefault="001C1212">
            <w:pPr>
              <w:jc w:val="both"/>
            </w:pPr>
            <w:r>
              <w:fldChar w:fldCharType="begin"/>
            </w:r>
            <w:r>
              <w:instrText xml:space="preserve"> MERGEFIELD Membro </w:instrText>
            </w:r>
            <w:r>
              <w:fldChar w:fldCharType="separate"/>
            </w:r>
            <w:r>
              <w:t>Humberto Mauro Andrade Cruz</w:t>
            </w:r>
            <w:r>
              <w:fldChar w:fldCharType="end"/>
            </w:r>
          </w:p>
          <w:p w:rsidR="001615DA" w:rsidRDefault="001C1212">
            <w:pPr>
              <w:jc w:val="both"/>
            </w:pPr>
            <w:r>
              <w:fldChar w:fldCharType="begin"/>
            </w:r>
            <w:r>
              <w:instrText xml:space="preserve"> MERGEFIELD cargo3 </w:instrText>
            </w:r>
            <w:r>
              <w:fldChar w:fldCharType="separate"/>
            </w:r>
            <w:r>
              <w:t>Membro</w:t>
            </w:r>
            <w:r>
              <w:fldChar w:fldCharType="end"/>
            </w:r>
          </w:p>
          <w:p w:rsidR="001615DA" w:rsidRDefault="001615DA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15DA" w:rsidRDefault="001C1212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1615DA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15DA" w:rsidRDefault="001C1212">
            <w:pPr>
              <w:jc w:val="both"/>
            </w:pPr>
            <w:r>
              <w:fldChar w:fldCharType="begin"/>
            </w:r>
            <w:r>
              <w:instrText xml:space="preserve"> MERGEFIELD Membro1 </w:instrText>
            </w:r>
            <w:r>
              <w:fldChar w:fldCharType="separate"/>
            </w:r>
            <w:r>
              <w:t>Joselia da Silva Alves</w:t>
            </w:r>
            <w:r>
              <w:fldChar w:fldCharType="end"/>
            </w:r>
          </w:p>
          <w:p w:rsidR="001615DA" w:rsidRDefault="001C1212">
            <w:pPr>
              <w:jc w:val="both"/>
            </w:pPr>
            <w:r>
              <w:fldChar w:fldCharType="begin"/>
            </w:r>
            <w:r>
              <w:instrText xml:space="preserve"> MERGEFIELD cargo4 </w:instrText>
            </w:r>
            <w:r>
              <w:fldChar w:fldCharType="separate"/>
            </w:r>
            <w:r>
              <w:t>Membro</w:t>
            </w:r>
            <w:r>
              <w:fldChar w:fldCharType="end"/>
            </w:r>
          </w:p>
          <w:p w:rsidR="001615DA" w:rsidRDefault="001615DA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15DA" w:rsidRDefault="001C1212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1615DA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15DA" w:rsidRDefault="001C1212">
            <w:pPr>
              <w:autoSpaceDE w:val="0"/>
            </w:pPr>
            <w:r>
              <w:fldChar w:fldCharType="begin"/>
            </w:r>
            <w:r>
              <w:instrText xml:space="preserve"> MERGEFIELD Membro2 </w:instrText>
            </w:r>
            <w:r>
              <w:fldChar w:fldCharType="separate"/>
            </w:r>
            <w:r>
              <w:t>Juliano Pamplona Ximenes Ponte</w:t>
            </w:r>
            <w:r>
              <w:fldChar w:fldCharType="end"/>
            </w:r>
          </w:p>
          <w:p w:rsidR="001615DA" w:rsidRDefault="001C1212">
            <w:pPr>
              <w:autoSpaceDE w:val="0"/>
            </w:pPr>
            <w:r>
              <w:fldChar w:fldCharType="begin"/>
            </w:r>
            <w:r>
              <w:instrText xml:space="preserve"> MERGEFIELD </w:instrText>
            </w:r>
            <w:r>
              <w:instrText xml:space="preserve">cargo5 </w:instrText>
            </w:r>
            <w:r>
              <w:fldChar w:fldCharType="separate"/>
            </w:r>
            <w:r>
              <w:t>Membro</w:t>
            </w:r>
            <w:r>
              <w:fldChar w:fldCharType="end"/>
            </w:r>
          </w:p>
          <w:p w:rsidR="001615DA" w:rsidRDefault="001615DA">
            <w:pPr>
              <w:autoSpaceDE w:val="0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15DA" w:rsidRDefault="001C1212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  <w:tr w:rsidR="001615DA">
        <w:tblPrEx>
          <w:tblCellMar>
            <w:top w:w="0" w:type="dxa"/>
            <w:bottom w:w="0" w:type="dxa"/>
          </w:tblCellMar>
        </w:tblPrEx>
        <w:tc>
          <w:tcPr>
            <w:tcW w:w="467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15DA" w:rsidRDefault="001C1212">
            <w:pPr>
              <w:jc w:val="both"/>
            </w:pPr>
            <w:r>
              <w:fldChar w:fldCharType="begin"/>
            </w:r>
            <w:r>
              <w:instrText xml:space="preserve"> MERGEFIELD Membro3 </w:instrText>
            </w:r>
            <w:r>
              <w:fldChar w:fldCharType="separate"/>
            </w:r>
            <w:r>
              <w:t>Roseana Almeida Vasconcelos</w:t>
            </w:r>
            <w:r>
              <w:fldChar w:fldCharType="end"/>
            </w:r>
          </w:p>
          <w:p w:rsidR="001615DA" w:rsidRDefault="001C1212">
            <w:pPr>
              <w:jc w:val="both"/>
            </w:pPr>
            <w:r>
              <w:fldChar w:fldCharType="begin"/>
            </w:r>
            <w:r>
              <w:instrText xml:space="preserve"> MERGEFIELD cargo6 </w:instrText>
            </w:r>
            <w:r>
              <w:fldChar w:fldCharType="separate"/>
            </w:r>
            <w:r>
              <w:t>Membro</w:t>
            </w:r>
            <w:r>
              <w:fldChar w:fldCharType="end"/>
            </w:r>
          </w:p>
        </w:tc>
        <w:tc>
          <w:tcPr>
            <w:tcW w:w="467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615DA" w:rsidRDefault="001C1212">
            <w:pPr>
              <w:jc w:val="both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________________________________________</w:t>
            </w:r>
          </w:p>
        </w:tc>
      </w:tr>
    </w:tbl>
    <w:p w:rsidR="001615DA" w:rsidRDefault="001615DA">
      <w:pPr>
        <w:autoSpaceDE w:val="0"/>
        <w:rPr>
          <w:rFonts w:ascii="Times New Roman" w:eastAsia="Times New Roman" w:hAnsi="Times New Roman"/>
          <w:sz w:val="22"/>
          <w:szCs w:val="22"/>
          <w:lang w:eastAsia="pt-BR"/>
        </w:rPr>
      </w:pPr>
    </w:p>
    <w:p w:rsidR="001615DA" w:rsidRDefault="001615DA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1615DA" w:rsidRDefault="001615DA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1615DA" w:rsidRDefault="001615DA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1615DA" w:rsidRDefault="001615DA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1615DA" w:rsidRDefault="001615DA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1615DA" w:rsidRDefault="001615DA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1615DA" w:rsidRDefault="001615DA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1615DA" w:rsidRDefault="001615DA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1615DA" w:rsidRDefault="001615DA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1615DA" w:rsidRDefault="001615DA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1615DA" w:rsidRDefault="001615DA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1615DA" w:rsidRDefault="001615DA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1615DA" w:rsidRDefault="001615DA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1615DA" w:rsidRDefault="001615DA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1615DA" w:rsidRDefault="001C1212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hAnsi="Times New Roman"/>
          <w:sz w:val="22"/>
          <w:szCs w:val="22"/>
          <w:u w:val="single"/>
        </w:rPr>
        <w:t>ANEXO I – Atualização de Dados Cadastrais e Status do Curso</w:t>
      </w:r>
    </w:p>
    <w:p w:rsidR="001615DA" w:rsidRDefault="001C1212">
      <w:pPr>
        <w:autoSpaceDE w:val="0"/>
        <w:spacing w:line="276" w:lineRule="auto"/>
        <w:jc w:val="center"/>
      </w:pPr>
      <w:r>
        <w:rPr>
          <w:rFonts w:ascii="Times New Roman" w:hAnsi="Times New Roman"/>
          <w:noProof/>
          <w:sz w:val="22"/>
          <w:szCs w:val="22"/>
          <w:u w:val="single"/>
          <w:lang w:eastAsia="pt-BR"/>
        </w:rPr>
        <w:lastRenderedPageBreak/>
        <w:drawing>
          <wp:inline distT="0" distB="0" distL="0" distR="0">
            <wp:extent cx="1915796" cy="8066407"/>
            <wp:effectExtent l="0" t="0" r="8254" b="0"/>
            <wp:docPr id="4" name="Image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796" cy="8066407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615DA" w:rsidRDefault="001C1212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  <w:r>
        <w:rPr>
          <w:rFonts w:ascii="Times New Roman" w:hAnsi="Times New Roman"/>
          <w:sz w:val="22"/>
          <w:szCs w:val="22"/>
          <w:u w:val="single"/>
        </w:rPr>
        <w:t>ANEXO II – Fluxo de Cadastro de Curso</w:t>
      </w:r>
    </w:p>
    <w:p w:rsidR="001615DA" w:rsidRDefault="001615DA">
      <w:pPr>
        <w:autoSpaceDE w:val="0"/>
        <w:spacing w:line="276" w:lineRule="auto"/>
        <w:jc w:val="center"/>
        <w:rPr>
          <w:rFonts w:ascii="Times New Roman" w:hAnsi="Times New Roman"/>
          <w:sz w:val="22"/>
          <w:szCs w:val="22"/>
          <w:u w:val="single"/>
        </w:rPr>
      </w:pPr>
    </w:p>
    <w:p w:rsidR="001615DA" w:rsidRDefault="001C1212">
      <w:pPr>
        <w:autoSpaceDE w:val="0"/>
        <w:spacing w:line="276" w:lineRule="auto"/>
        <w:jc w:val="center"/>
      </w:pPr>
      <w:r>
        <w:rPr>
          <w:rFonts w:ascii="Times New Roman" w:hAnsi="Times New Roman"/>
          <w:noProof/>
          <w:sz w:val="22"/>
          <w:szCs w:val="22"/>
          <w:lang w:eastAsia="pt-BR"/>
        </w:rPr>
        <w:drawing>
          <wp:inline distT="0" distB="0" distL="0" distR="0">
            <wp:extent cx="5859146" cy="7760339"/>
            <wp:effectExtent l="0" t="0" r="0" b="0"/>
            <wp:docPr id="5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9146" cy="776033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615DA" w:rsidRDefault="001C1212">
      <w:pPr>
        <w:tabs>
          <w:tab w:val="left" w:pos="4651"/>
        </w:tabs>
      </w:pPr>
      <w:r>
        <w:rPr>
          <w:noProof/>
          <w:lang w:eastAsia="pt-BR"/>
        </w:rPr>
        <w:lastRenderedPageBreak/>
        <w:drawing>
          <wp:inline distT="0" distB="0" distL="0" distR="0">
            <wp:extent cx="5731514" cy="7591421"/>
            <wp:effectExtent l="0" t="0" r="0" b="0"/>
            <wp:docPr id="6" name="Image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4" cy="759142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1615DA" w:rsidRDefault="001C1212">
      <w:pPr>
        <w:tabs>
          <w:tab w:val="left" w:pos="4651"/>
        </w:tabs>
      </w:pPr>
      <w:r>
        <w:rPr>
          <w:noProof/>
          <w:lang w:eastAsia="pt-BR"/>
        </w:rPr>
        <w:lastRenderedPageBreak/>
        <w:drawing>
          <wp:inline distT="0" distB="0" distL="0" distR="0">
            <wp:extent cx="5755005" cy="7621908"/>
            <wp:effectExtent l="0" t="0" r="0" b="0"/>
            <wp:docPr id="7" name="Image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7621908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1615DA">
      <w:headerReference w:type="default" r:id="rId12"/>
      <w:footerReference w:type="default" r:id="rId13"/>
      <w:pgSz w:w="11900" w:h="16840"/>
      <w:pgMar w:top="1985" w:right="1128" w:bottom="1559" w:left="1559" w:header="1327" w:footer="58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1C1212">
      <w:r>
        <w:separator/>
      </w:r>
    </w:p>
  </w:endnote>
  <w:endnote w:type="continuationSeparator" w:id="0">
    <w:p w:rsidR="00000000" w:rsidRDefault="001C12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DDB" w:rsidRDefault="001C1212">
    <w:pPr>
      <w:pStyle w:val="Rodap"/>
      <w:ind w:right="360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6614769</wp:posOffset>
              </wp:positionH>
              <wp:positionV relativeFrom="paragraph">
                <wp:posOffset>-196778</wp:posOffset>
              </wp:positionV>
              <wp:extent cx="676838" cy="229788"/>
              <wp:effectExtent l="0" t="0" r="0" b="0"/>
              <wp:wrapSquare wrapText="bothSides"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76838" cy="229788"/>
                      </a:xfrm>
                      <a:prstGeom prst="rect">
                        <a:avLst/>
                      </a:prstGeom>
                      <a:ln>
                        <a:noFill/>
                        <a:prstDash/>
                      </a:ln>
                    </wps:spPr>
                    <wps:txbx>
                      <w:txbxContent>
                        <w:p w:rsidR="00F03DDB" w:rsidRDefault="001C1212">
                          <w:pPr>
                            <w:pStyle w:val="Rodap"/>
                            <w:jc w:val="right"/>
                          </w:pP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instrText xml:space="preserve"> PAGE </w:instrText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rStyle w:val="Nmerodepgina"/>
                              <w:rFonts w:ascii="Arial" w:hAnsi="Arial"/>
                              <w:noProof/>
                              <w:color w:val="296D7A"/>
                              <w:sz w:val="18"/>
                            </w:rPr>
                            <w:t>2</w:t>
                          </w:r>
                          <w:r>
                            <w:rPr>
                              <w:rStyle w:val="Nmerodepgina"/>
                              <w:rFonts w:ascii="Arial" w:hAnsi="Arial"/>
                              <w:color w:val="296D7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520.85pt;margin-top:-15.5pt;width:53.3pt;height:18.1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" filled="f" stroked="f">
              <v:textbox inset="0,0,0,0">
                <w:txbxContent>
                  <w:p w:rsidR="00F03DDB" w:rsidRDefault="001C1212">
                    <w:pPr>
                      <w:pStyle w:val="Rodap"/>
                      <w:jc w:val="right"/>
                    </w:pP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begin"/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instrText xml:space="preserve"> PAGE </w:instrText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separate"/>
                    </w:r>
                    <w:r>
                      <w:rPr>
                        <w:rStyle w:val="Nmerodepgina"/>
                        <w:rFonts w:ascii="Arial" w:hAnsi="Arial"/>
                        <w:noProof/>
                        <w:color w:val="296D7A"/>
                        <w:sz w:val="18"/>
                      </w:rPr>
                      <w:t>2</w:t>
                    </w:r>
                    <w:r>
                      <w:rPr>
                        <w:rStyle w:val="Nmerodepgina"/>
                        <w:rFonts w:ascii="Arial" w:hAnsi="Arial"/>
                        <w:color w:val="296D7A"/>
                        <w:sz w:val="18"/>
                      </w:rPr>
                      <w:fldChar w:fldCharType="end"/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-990596</wp:posOffset>
          </wp:positionH>
          <wp:positionV relativeFrom="paragraph">
            <wp:posOffset>-519434</wp:posOffset>
          </wp:positionV>
          <wp:extent cx="7547613" cy="1081406"/>
          <wp:effectExtent l="0" t="0" r="0" b="4444"/>
          <wp:wrapNone/>
          <wp:docPr id="3" name="Imagem 47" descr="CAU-BR-timbrado2015--rodap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7613" cy="108140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1C1212">
      <w:r>
        <w:rPr>
          <w:color w:val="000000"/>
        </w:rPr>
        <w:separator/>
      </w:r>
    </w:p>
  </w:footnote>
  <w:footnote w:type="continuationSeparator" w:id="0">
    <w:p w:rsidR="00000000" w:rsidRDefault="001C12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3DDB" w:rsidRDefault="001C1212">
    <w:pPr>
      <w:pStyle w:val="Cabealho"/>
      <w:tabs>
        <w:tab w:val="clear" w:pos="4320"/>
        <w:tab w:val="left" w:pos="2880"/>
        <w:tab w:val="left" w:pos="6120"/>
      </w:tabs>
      <w:ind w:left="587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-1000755</wp:posOffset>
          </wp:positionH>
          <wp:positionV relativeFrom="paragraph">
            <wp:posOffset>-839474</wp:posOffset>
          </wp:positionV>
          <wp:extent cx="7559673" cy="1078233"/>
          <wp:effectExtent l="0" t="0" r="3177" b="7617"/>
          <wp:wrapNone/>
          <wp:docPr id="1" name="Imagem 48" descr="CAU-BR-timbrado2015--CE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673" cy="107823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4A66DD0"/>
    <w:multiLevelType w:val="multilevel"/>
    <w:tmpl w:val="1B224A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615DA"/>
    <w:rsid w:val="001615DA"/>
    <w:rsid w:val="001C1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pt-BR" w:eastAsia="pt-B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pPr>
      <w:outlineLvl w:val="0"/>
    </w:pPr>
    <w:rPr>
      <w:rFonts w:ascii="Tahoma" w:eastAsia="Times New Roman" w:hAnsi="Tahoma" w:cs="Tahoma"/>
      <w:spacing w:val="4"/>
      <w:sz w:val="40"/>
      <w:szCs w:val="40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</w:style>
  <w:style w:type="paragraph" w:styleId="NormalWeb">
    <w:name w:val="Normal (Web)"/>
    <w:basedOn w:val="Normal"/>
    <w:rPr>
      <w:rFonts w:ascii="Times" w:hAnsi="Times"/>
      <w:sz w:val="20"/>
      <w:szCs w:val="20"/>
    </w:rPr>
  </w:style>
  <w:style w:type="character" w:styleId="Forte">
    <w:name w:val="Strong"/>
    <w:rPr>
      <w:b/>
    </w:rPr>
  </w:style>
  <w:style w:type="character" w:customStyle="1" w:styleId="apple-converted-space">
    <w:name w:val="apple-converted-space"/>
    <w:basedOn w:val="Fontepargpadro"/>
  </w:style>
  <w:style w:type="character" w:styleId="nfase">
    <w:name w:val="Emphasis"/>
    <w:rPr>
      <w:i/>
    </w:rPr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"/>
  </w:style>
  <w:style w:type="paragraph" w:customStyle="1" w:styleId="SombreamentoMdio1-nfase11">
    <w:name w:val="Sombreamento Médio 1 - Ênfase 11"/>
    <w:pPr>
      <w:suppressAutoHyphens/>
    </w:pPr>
    <w:rPr>
      <w:rFonts w:ascii="Calibri" w:eastAsia="Calibri" w:hAnsi="Calibri"/>
      <w:sz w:val="22"/>
      <w:szCs w:val="22"/>
      <w:lang w:eastAsia="en-US"/>
    </w:rPr>
  </w:style>
  <w:style w:type="character" w:customStyle="1" w:styleId="Ttulo1Char">
    <w:name w:val="Título 1 Char"/>
    <w:rPr>
      <w:rFonts w:ascii="Tahoma" w:eastAsia="Times New Roman" w:hAnsi="Tahoma" w:cs="Tahoma"/>
      <w:spacing w:val="4"/>
      <w:sz w:val="40"/>
      <w:szCs w:val="40"/>
      <w:lang w:val="en-GB" w:eastAsia="en-US"/>
    </w:rPr>
  </w:style>
  <w:style w:type="paragraph" w:customStyle="1" w:styleId="Default">
    <w:name w:val="Default"/>
    <w:pPr>
      <w:suppressAutoHyphens/>
      <w:autoSpaceDE w:val="0"/>
    </w:pPr>
    <w:rPr>
      <w:rFonts w:ascii="Calibri" w:eastAsia="Calibri" w:hAnsi="Calibri" w:cs="Calibri"/>
      <w:color w:val="000000"/>
      <w:sz w:val="24"/>
      <w:szCs w:val="24"/>
    </w:rPr>
  </w:style>
  <w:style w:type="paragraph" w:styleId="Recuodecorpodetexto">
    <w:name w:val="Body Text Indent"/>
    <w:basedOn w:val="Normal"/>
    <w:pPr>
      <w:ind w:left="708" w:firstLine="708"/>
      <w:jc w:val="both"/>
    </w:pPr>
    <w:rPr>
      <w:rFonts w:ascii="Times New Roman" w:eastAsia="Times New Roman" w:hAnsi="Times New Roman"/>
      <w:lang w:eastAsia="pt-BR"/>
    </w:rPr>
  </w:style>
  <w:style w:type="character" w:customStyle="1" w:styleId="RecuodecorpodetextoChar">
    <w:name w:val="Recuo de corpo de texto Char"/>
    <w:rPr>
      <w:rFonts w:ascii="Times New Roman" w:eastAsia="Times New Roman" w:hAnsi="Times New Roman"/>
      <w:sz w:val="24"/>
      <w:szCs w:val="24"/>
    </w:rPr>
  </w:style>
  <w:style w:type="paragraph" w:styleId="Textodenotaderodap">
    <w:name w:val="footnote text"/>
    <w:basedOn w:val="Normal"/>
    <w:rPr>
      <w:sz w:val="20"/>
      <w:szCs w:val="20"/>
    </w:rPr>
  </w:style>
  <w:style w:type="character" w:customStyle="1" w:styleId="TextodenotaderodapChar">
    <w:name w:val="Texto de nota de rodapé Char"/>
    <w:rPr>
      <w:lang w:eastAsia="en-US"/>
    </w:rPr>
  </w:style>
  <w:style w:type="character" w:styleId="Refdenotaderodap">
    <w:name w:val="footnote reference"/>
    <w:rPr>
      <w:position w:val="0"/>
      <w:vertAlign w:val="superscript"/>
    </w:rPr>
  </w:style>
  <w:style w:type="paragraph" w:styleId="PargrafodaLista">
    <w:name w:val="List Paragraph"/>
    <w:basedOn w:val="Normal"/>
    <w:pPr>
      <w:ind w:left="708"/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  <w:lang w:eastAsia="en-US"/>
    </w:rPr>
  </w:style>
  <w:style w:type="paragraph" w:customStyle="1" w:styleId="texto1">
    <w:name w:val="texto1"/>
    <w:basedOn w:val="Normal"/>
    <w:pPr>
      <w:spacing w:before="100" w:after="100"/>
    </w:pPr>
    <w:rPr>
      <w:rFonts w:ascii="Times New Roman" w:eastAsia="Times New Roman" w:hAnsi="Times New Roman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pt-BR" w:eastAsia="pt-BR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pPr>
      <w:outlineLvl w:val="0"/>
    </w:pPr>
    <w:rPr>
      <w:rFonts w:ascii="Tahoma" w:eastAsia="Times New Roman" w:hAnsi="Tahoma" w:cs="Tahoma"/>
      <w:spacing w:val="4"/>
      <w:sz w:val="40"/>
      <w:szCs w:val="40"/>
      <w:lang w:val="en-GB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</w:style>
  <w:style w:type="paragraph" w:styleId="NormalWeb">
    <w:name w:val="Normal (Web)"/>
    <w:basedOn w:val="Normal"/>
    <w:rPr>
      <w:rFonts w:ascii="Times" w:hAnsi="Times"/>
      <w:sz w:val="20"/>
      <w:szCs w:val="20"/>
    </w:rPr>
  </w:style>
  <w:style w:type="character" w:styleId="Forte">
    <w:name w:val="Strong"/>
    <w:rPr>
      <w:b/>
    </w:rPr>
  </w:style>
  <w:style w:type="character" w:customStyle="1" w:styleId="apple-converted-space">
    <w:name w:val="apple-converted-space"/>
    <w:basedOn w:val="Fontepargpadro"/>
  </w:style>
  <w:style w:type="character" w:styleId="nfase">
    <w:name w:val="Emphasis"/>
    <w:rPr>
      <w:i/>
    </w:rPr>
  </w:style>
  <w:style w:type="character" w:styleId="Hyperlink">
    <w:name w:val="Hyperlink"/>
    <w:rPr>
      <w:color w:val="0000FF"/>
      <w:u w:val="single"/>
    </w:rPr>
  </w:style>
  <w:style w:type="character" w:styleId="Nmerodepgina">
    <w:name w:val="page number"/>
    <w:basedOn w:val="Fontepargpadro"/>
  </w:style>
  <w:style w:type="paragraph" w:customStyle="1" w:styleId="SombreamentoMdio1-nfase11">
    <w:name w:val="Sombreamento Médio 1 - Ênfase 11"/>
    <w:pPr>
      <w:suppressAutoHyphens/>
    </w:pPr>
    <w:rPr>
      <w:rFonts w:ascii="Calibri" w:eastAsia="Calibri" w:hAnsi="Calibri"/>
      <w:sz w:val="22"/>
      <w:szCs w:val="22"/>
      <w:lang w:eastAsia="en-US"/>
    </w:rPr>
  </w:style>
  <w:style w:type="character" w:customStyle="1" w:styleId="Ttulo1Char">
    <w:name w:val="Título 1 Char"/>
    <w:rPr>
      <w:rFonts w:ascii="Tahoma" w:eastAsia="Times New Roman" w:hAnsi="Tahoma" w:cs="Tahoma"/>
      <w:spacing w:val="4"/>
      <w:sz w:val="40"/>
      <w:szCs w:val="40"/>
      <w:lang w:val="en-GB" w:eastAsia="en-US"/>
    </w:rPr>
  </w:style>
  <w:style w:type="paragraph" w:customStyle="1" w:styleId="Default">
    <w:name w:val="Default"/>
    <w:pPr>
      <w:suppressAutoHyphens/>
      <w:autoSpaceDE w:val="0"/>
    </w:pPr>
    <w:rPr>
      <w:rFonts w:ascii="Calibri" w:eastAsia="Calibri" w:hAnsi="Calibri" w:cs="Calibri"/>
      <w:color w:val="000000"/>
      <w:sz w:val="24"/>
      <w:szCs w:val="24"/>
    </w:rPr>
  </w:style>
  <w:style w:type="paragraph" w:styleId="Recuodecorpodetexto">
    <w:name w:val="Body Text Indent"/>
    <w:basedOn w:val="Normal"/>
    <w:pPr>
      <w:ind w:left="708" w:firstLine="708"/>
      <w:jc w:val="both"/>
    </w:pPr>
    <w:rPr>
      <w:rFonts w:ascii="Times New Roman" w:eastAsia="Times New Roman" w:hAnsi="Times New Roman"/>
      <w:lang w:eastAsia="pt-BR"/>
    </w:rPr>
  </w:style>
  <w:style w:type="character" w:customStyle="1" w:styleId="RecuodecorpodetextoChar">
    <w:name w:val="Recuo de corpo de texto Char"/>
    <w:rPr>
      <w:rFonts w:ascii="Times New Roman" w:eastAsia="Times New Roman" w:hAnsi="Times New Roman"/>
      <w:sz w:val="24"/>
      <w:szCs w:val="24"/>
    </w:rPr>
  </w:style>
  <w:style w:type="paragraph" w:styleId="Textodenotaderodap">
    <w:name w:val="footnote text"/>
    <w:basedOn w:val="Normal"/>
    <w:rPr>
      <w:sz w:val="20"/>
      <w:szCs w:val="20"/>
    </w:rPr>
  </w:style>
  <w:style w:type="character" w:customStyle="1" w:styleId="TextodenotaderodapChar">
    <w:name w:val="Texto de nota de rodapé Char"/>
    <w:rPr>
      <w:lang w:eastAsia="en-US"/>
    </w:rPr>
  </w:style>
  <w:style w:type="character" w:styleId="Refdenotaderodap">
    <w:name w:val="footnote reference"/>
    <w:rPr>
      <w:position w:val="0"/>
      <w:vertAlign w:val="superscript"/>
    </w:rPr>
  </w:style>
  <w:style w:type="paragraph" w:styleId="PargrafodaLista">
    <w:name w:val="List Paragraph"/>
    <w:basedOn w:val="Normal"/>
    <w:pPr>
      <w:ind w:left="708"/>
    </w:p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rPr>
      <w:rFonts w:ascii="Tahoma" w:hAnsi="Tahoma" w:cs="Tahoma"/>
      <w:sz w:val="16"/>
      <w:szCs w:val="16"/>
      <w:lang w:eastAsia="en-US"/>
    </w:rPr>
  </w:style>
  <w:style w:type="paragraph" w:customStyle="1" w:styleId="texto1">
    <w:name w:val="texto1"/>
    <w:basedOn w:val="Normal"/>
    <w:pPr>
      <w:spacing w:before="100" w:after="100"/>
    </w:pPr>
    <w:rPr>
      <w:rFonts w:ascii="Times New Roman" w:eastAsia="Times New Roman" w:hAnsi="Times New Roman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1347</Words>
  <Characters>7278</Characters>
  <Application>Microsoft Office Word</Application>
  <DocSecurity>0</DocSecurity>
  <Lines>60</Lines>
  <Paragraphs>17</Paragraphs>
  <ScaleCrop>false</ScaleCrop>
  <Company>Hewlett-Packard Company</Company>
  <LinksUpToDate>false</LinksUpToDate>
  <CharactersWithSpaces>8608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</dc:creator>
  <cp:lastModifiedBy>Ana Carolina Alcantara Ayres</cp:lastModifiedBy>
  <cp:revision>2</cp:revision>
  <cp:lastPrinted>2017-03-27T18:24:00Z</cp:lastPrinted>
  <dcterms:created xsi:type="dcterms:W3CDTF">2019-07-18T18:15:00Z</dcterms:created>
  <dcterms:modified xsi:type="dcterms:W3CDTF">2019-07-18T18:15:00Z</dcterms:modified>
</cp:coreProperties>
</file>