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center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</w:pBdr>
        <w:ind w:right="0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CE-002:138.012  SAÍDAS DE EMERGÊNCIA EM EDIFÍCIOS</w:t>
      </w:r>
    </w:p>
    <w:p w:rsidR="00000000" w:rsidDel="00000000" w:rsidP="00000000" w:rsidRDefault="00000000" w:rsidRPr="00000000" w14:paraId="00000004">
      <w:pPr>
        <w:pBdr>
          <w:top w:color="000000" w:space="1" w:sz="24" w:val="single"/>
        </w:pBdr>
        <w:spacing w:after="6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ATA DA 9° REUNIÃO/2019 </w:t>
        <w:tab/>
        <w:tab/>
        <w:tab/>
        <w:t xml:space="preserve">                      DATA:  19/06/2019</w:t>
      </w:r>
    </w:p>
    <w:p w:rsidR="00000000" w:rsidDel="00000000" w:rsidP="00000000" w:rsidRDefault="00000000" w:rsidRPr="00000000" w14:paraId="00000005">
      <w:pPr>
        <w:tabs>
          <w:tab w:val="left" w:pos="6521"/>
        </w:tabs>
        <w:spacing w:after="60" w:lineRule="auto"/>
        <w:ind w:right="0"/>
        <w:jc w:val="both"/>
        <w:rPr/>
      </w:pPr>
      <w:r w:rsidDel="00000000" w:rsidR="00000000" w:rsidRPr="00000000">
        <w:rPr>
          <w:b w:val="1"/>
          <w:rtl w:val="0"/>
        </w:rPr>
        <w:t xml:space="preserve">INÍCIO: </w:t>
      </w:r>
      <w:r w:rsidDel="00000000" w:rsidR="00000000" w:rsidRPr="00000000">
        <w:rPr>
          <w:rtl w:val="0"/>
        </w:rPr>
        <w:t xml:space="preserve">9:00 h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TÉRMINO:</w:t>
      </w:r>
      <w:r w:rsidDel="00000000" w:rsidR="00000000" w:rsidRPr="00000000">
        <w:rPr>
          <w:rtl w:val="0"/>
        </w:rPr>
        <w:t xml:space="preserve"> 12:00 h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SINDUSCON/SP - Rua Dona Veridiana, 55 – Auditório - São Paulo – SP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</w:pBdr>
        <w:spacing w:before="120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COORDENADOR(A):</w:t>
      </w:r>
      <w:r w:rsidDel="00000000" w:rsidR="00000000" w:rsidRPr="00000000">
        <w:rPr>
          <w:rtl w:val="0"/>
        </w:rPr>
        <w:t xml:space="preserve"> Sergio Fernando Domingues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SECRETÁRIO(A): </w:t>
      </w:r>
      <w:r w:rsidDel="00000000" w:rsidR="00000000" w:rsidRPr="00000000">
        <w:rPr>
          <w:rtl w:val="0"/>
        </w:rPr>
        <w:t xml:space="preserve">Marcos Vargas Valentim</w:t>
      </w:r>
    </w:p>
    <w:p w:rsidR="00000000" w:rsidDel="00000000" w:rsidP="00000000" w:rsidRDefault="00000000" w:rsidRPr="00000000" w14:paraId="0000000A">
      <w:pPr>
        <w:pBdr>
          <w:bottom w:color="000000" w:space="0" w:sz="24" w:val="single"/>
        </w:pBd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PARTICIPANTES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before="120" w:lineRule="auto"/>
        <w:ind w:left="420" w:hanging="420"/>
        <w:jc w:val="both"/>
        <w:rPr/>
      </w:pPr>
      <w:r w:rsidDel="00000000" w:rsidR="00000000" w:rsidRPr="00000000">
        <w:rPr>
          <w:b w:val="1"/>
          <w:rtl w:val="0"/>
        </w:rPr>
        <w:t xml:space="preserve">PRESENTES</w:t>
      </w:r>
    </w:p>
    <w:p w:rsidR="00000000" w:rsidDel="00000000" w:rsidP="00000000" w:rsidRDefault="00000000" w:rsidRPr="00000000" w14:paraId="0000000D">
      <w:pPr>
        <w:keepNext w:val="1"/>
        <w:tabs>
          <w:tab w:val="left" w:pos="0"/>
        </w:tabs>
        <w:spacing w:before="120" w:lineRule="auto"/>
        <w:ind w:right="-198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Partes Interessadas são identificadas conforme PI/DT 00.00.11 – Comissão de Estudo – Partes Interessadas – Identificação.</w:t>
      </w:r>
    </w:p>
    <w:p w:rsidR="00000000" w:rsidDel="00000000" w:rsidP="00000000" w:rsidRDefault="00000000" w:rsidRPr="00000000" w14:paraId="0000000E">
      <w:pPr>
        <w:keepNext w:val="1"/>
        <w:tabs>
          <w:tab w:val="left" w:pos="0"/>
        </w:tabs>
        <w:spacing w:before="120" w:lineRule="auto"/>
        <w:ind w:right="-198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Partes Interessadas (PI):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Produtor;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2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Consumidor Intermediário;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Consumidor Final;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4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Órgãos Técnicos;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5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Fornecedor de Insumos;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6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Órgão regulador/regulamentador/acreditador;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7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</w:t>
      </w:r>
      <w:r w:rsidDel="00000000" w:rsidR="00000000" w:rsidRPr="00000000">
        <w:rPr>
          <w:sz w:val="20"/>
          <w:szCs w:val="20"/>
          <w:rtl w:val="0"/>
        </w:rPr>
        <w:t xml:space="preserve">Organismo de avaliação da conformidade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8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Fornecedor do serviço;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9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</w:t>
      </w:r>
      <w:r w:rsidDel="00000000" w:rsidR="00000000" w:rsidRPr="00000000">
        <w:rPr>
          <w:sz w:val="20"/>
          <w:szCs w:val="20"/>
          <w:rtl w:val="0"/>
        </w:rPr>
        <w:t xml:space="preserve">Empresa de Capacitação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;  (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10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 </w:t>
      </w:r>
      <w:r w:rsidDel="00000000" w:rsidR="00000000" w:rsidRPr="00000000">
        <w:rPr>
          <w:sz w:val="20"/>
          <w:szCs w:val="20"/>
          <w:rtl w:val="0"/>
        </w:rPr>
        <w:t xml:space="preserve">Empresa onde o sistema será implantado; (</w:t>
      </w:r>
      <w:r w:rsidDel="00000000" w:rsidR="00000000" w:rsidRPr="00000000">
        <w:rPr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) Empresa implantadora do sistema; (</w:t>
      </w:r>
      <w:r w:rsidDel="00000000" w:rsidR="00000000" w:rsidRPr="00000000">
        <w:rPr>
          <w:b w:val="1"/>
          <w:sz w:val="20"/>
          <w:szCs w:val="20"/>
          <w:rtl w:val="0"/>
        </w:rPr>
        <w:t xml:space="preserve">12</w:t>
      </w:r>
      <w:r w:rsidDel="00000000" w:rsidR="00000000" w:rsidRPr="00000000">
        <w:rPr>
          <w:sz w:val="20"/>
          <w:szCs w:val="20"/>
          <w:rtl w:val="0"/>
        </w:rPr>
        <w:t xml:space="preserve">) Pessoas objeto da qualificação; (</w:t>
      </w:r>
      <w:r w:rsidDel="00000000" w:rsidR="00000000" w:rsidRPr="00000000">
        <w:rPr>
          <w:b w:val="1"/>
          <w:sz w:val="20"/>
          <w:szCs w:val="20"/>
          <w:rtl w:val="0"/>
        </w:rPr>
        <w:t xml:space="preserve">13</w:t>
      </w:r>
      <w:r w:rsidDel="00000000" w:rsidR="00000000" w:rsidRPr="00000000">
        <w:rPr>
          <w:sz w:val="20"/>
          <w:szCs w:val="20"/>
          <w:rtl w:val="0"/>
        </w:rPr>
        <w:t xml:space="preserve">) Empresa que fornece a mão de obra; (</w:t>
      </w:r>
      <w:r w:rsidDel="00000000" w:rsidR="00000000" w:rsidRPr="00000000">
        <w:rPr>
          <w:b w:val="1"/>
          <w:sz w:val="20"/>
          <w:szCs w:val="20"/>
          <w:rtl w:val="0"/>
        </w:rPr>
        <w:t xml:space="preserve">14</w:t>
      </w:r>
      <w:r w:rsidDel="00000000" w:rsidR="00000000" w:rsidRPr="00000000">
        <w:rPr>
          <w:sz w:val="20"/>
          <w:szCs w:val="20"/>
          <w:rtl w:val="0"/>
        </w:rPr>
        <w:t xml:space="preserve">) empresa que utiliza a mão de obra.</w:t>
      </w:r>
    </w:p>
    <w:p w:rsidR="00000000" w:rsidDel="00000000" w:rsidP="00000000" w:rsidRDefault="00000000" w:rsidRPr="00000000" w14:paraId="0000000F">
      <w:pPr>
        <w:keepNext w:val="1"/>
        <w:tabs>
          <w:tab w:val="left" w:pos="0"/>
        </w:tabs>
        <w:ind w:right="-19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MPE: </w:t>
      </w:r>
      <w:r w:rsidDel="00000000" w:rsidR="00000000" w:rsidRPr="00000000">
        <w:rPr>
          <w:sz w:val="20"/>
          <w:szCs w:val="20"/>
          <w:rtl w:val="0"/>
        </w:rPr>
        <w:t xml:space="preserve">Micro e Pequena Empresa</w:t>
      </w:r>
    </w:p>
    <w:tbl>
      <w:tblPr>
        <w:tblStyle w:val="Table1"/>
        <w:tblW w:w="104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765"/>
        <w:gridCol w:w="705"/>
        <w:gridCol w:w="2145"/>
        <w:gridCol w:w="1635"/>
        <w:gridCol w:w="2985"/>
        <w:tblGridChange w:id="0">
          <w:tblGrid>
            <w:gridCol w:w="2250"/>
            <w:gridCol w:w="765"/>
            <w:gridCol w:w="705"/>
            <w:gridCol w:w="2145"/>
            <w:gridCol w:w="1635"/>
            <w:gridCol w:w="298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Entidade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Classe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MPE?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Representante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Endereço eletrônico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TARJAB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Vanessa de Moraes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98791-6087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vanessa.moreira@tarjab.com.br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SINDUSCON-SP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Sergio Fernando Domingues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40" w:before="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999689644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sergio@tarjab.com.br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Projeto Rondon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 José Fontoura Bongiovanni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992487909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fbongiova@gmail.com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 Roveri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98336-6881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Fernanda.roveri@schott.com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Walter Negrisolo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99917-4649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negrisolo@terra.com.br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ABRAVIDRO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Cleia Bassetto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38739908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cbassitto@abravidro.org..br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FEUERTEC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Nilton Miranda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999079193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nmiranda@fteng.com.br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Vargas Valentin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Marcos V. Valentim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98371-9256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valentimarq@gmail.com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Cyrela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Diana Chi Yin Fan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3018-7551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diana.fan@cyrela.com.br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Engenharia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Cotta Rodrigues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99903-7936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cotta@cottaeng.com.br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ABNT CREA-SP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Aldemir Sanches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(11) 947437333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aldemir@maisualia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Kepler Weber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Márcio Adriano Prante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(55) 33759800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marcio.adriano@kepler.com</w:t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before="240" w:lineRule="auto"/>
        <w:ind w:left="420" w:hanging="420"/>
        <w:jc w:val="both"/>
        <w:rPr/>
      </w:pPr>
      <w:r w:rsidDel="00000000" w:rsidR="00000000" w:rsidRPr="00000000">
        <w:rPr>
          <w:b w:val="1"/>
          <w:rtl w:val="0"/>
        </w:rPr>
        <w:t xml:space="preserve">AUSENTES JUSTIFICADOS </w:t>
      </w:r>
    </w:p>
    <w:tbl>
      <w:tblPr>
        <w:tblStyle w:val="Table2"/>
        <w:tblW w:w="1024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994"/>
        <w:tblGridChange w:id="0">
          <w:tblGrid>
            <w:gridCol w:w="4253"/>
            <w:gridCol w:w="5994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Entidade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Representante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IPT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Ivan F. Bottger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IPT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Antonio F. Berto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Elevadores OTIS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Mario Sergio Sineta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Kissia Stein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Fundament-AR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Duilio Terzi.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Matheus V. G. A. Stamato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ASBEA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Claudia Marques Lopes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Tecfire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Diana de Araújo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TAG Sinalização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Kleber de Castro Gonçalves</w:t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bottom w:color="000000" w:space="1" w:sz="2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before="120" w:lineRule="auto"/>
        <w:ind w:left="357" w:hanging="35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EXPEDIENTE </w:t>
      </w:r>
    </w:p>
    <w:p w:rsidR="00000000" w:rsidDel="00000000" w:rsidP="00000000" w:rsidRDefault="00000000" w:rsidRPr="00000000" w14:paraId="00000079">
      <w:pPr>
        <w:spacing w:before="120" w:lineRule="auto"/>
        <w:jc w:val="both"/>
        <w:rPr/>
      </w:pPr>
      <w:r w:rsidDel="00000000" w:rsidR="00000000" w:rsidRPr="00000000">
        <w:rPr>
          <w:rtl w:val="0"/>
        </w:rPr>
        <w:t xml:space="preserve">2.1. O coordenador realizou a leitura da ata da reunião anterior, realizada em 16 de abril de 2019. Após pequenos ajustes, a ata foi aprovada por unanimidade.</w:t>
      </w:r>
    </w:p>
    <w:p w:rsidR="00000000" w:rsidDel="00000000" w:rsidP="00000000" w:rsidRDefault="00000000" w:rsidRPr="00000000" w14:paraId="0000007A">
      <w:pPr>
        <w:pBdr>
          <w:bottom w:color="000000" w:space="1" w:sz="24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57" w:right="0" w:hanging="35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ASSUNTOS TRATADOS 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O coordenador distribuiu aos presentes o status das contribuições que foram elaboradas por alguns membros dessa comissão além da ata da 8º reunião que foi realizada no dia 16 de abril de 2019. Propôs, ainda, a criação de comitês para discussão de temas específicos, como por exemplo: distâncias de caminhamento, densidade, velocidade de crescimento do incêndio etc. Foi sugerido pelo coordenador que os comitês se reunissem uma vez ao mês, na primeira quarta-feira do mês. O comitê que estuda as distâncias de caminhamento se reunirá no dia 04 de julho na Rua Pereira Estéfano, 308 – Saúde (Casa Tarjab), com inícios às 14:00 h e previsão de término às 17:00 h.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O Coordenador relembrou o conceito da NBR 9077 em estudo, ou seja: a características dos ocupantes e velocidade de crescimento do incêndio. Ressaltou que a proposta em discussão não leva em consideração a carga de incêndio.</w:t>
      </w:r>
    </w:p>
    <w:p w:rsidR="00000000" w:rsidDel="00000000" w:rsidP="00000000" w:rsidRDefault="00000000" w:rsidRPr="00000000" w14:paraId="0000007E">
      <w:pPr>
        <w:jc w:val="both"/>
        <w:rPr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 secretário informou que não encontrou disponível na internet a norma Inglesa PD 7974-1, “</w:t>
      </w:r>
      <w:r w:rsidDel="00000000" w:rsidR="00000000" w:rsidRPr="00000000">
        <w:rPr>
          <w:i w:val="1"/>
          <w:rtl w:val="0"/>
        </w:rPr>
        <w:t xml:space="preserve">Application of fire safety engineering principles to the design of buildings – Part 1: Initiation and development of fire within the enclosure of origin”  </w:t>
      </w:r>
      <w:r w:rsidDel="00000000" w:rsidR="00000000" w:rsidRPr="00000000">
        <w:rPr>
          <w:rtl w:val="0"/>
        </w:rPr>
        <w:t xml:space="preserve">e que o valor para aquisição, somente dessa parte, é de aproximadamente R$ 1.200,00. Negrisolo sugeriu a utilização do código Italiano (“</w:t>
      </w:r>
      <w:r w:rsidDel="00000000" w:rsidR="00000000" w:rsidRPr="00000000">
        <w:rPr>
          <w:i w:val="1"/>
          <w:rtl w:val="0"/>
        </w:rPr>
        <w:t xml:space="preserve">Codice di prevenzione incendi”</w:t>
      </w:r>
      <w:r w:rsidDel="00000000" w:rsidR="00000000" w:rsidRPr="00000000">
        <w:rPr>
          <w:rtl w:val="0"/>
        </w:rPr>
        <w:t xml:space="preserve">), publicado no ano de 2015 e que também teve como referência a BS 9999</w:t>
      </w:r>
      <w:r w:rsidDel="00000000" w:rsidR="00000000" w:rsidRPr="00000000">
        <w:rPr>
          <w:i w:val="1"/>
          <w:rtl w:val="0"/>
        </w:rPr>
        <w:t xml:space="preserve">: Code of practice for fire safety in the design, management and use of buildings.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O coordenador apresentou a planta de alguns edifícios habitacionais e relatou a visita que fez em um edifício habitacional de baixa renda com dois dormitórios e, que nessa ocasião, constatou uma ocupação média de seis pessoas em cada apartamento.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Miranda lembrou que na Instrução Técnica (IT) Nº 11/2019 já se considera duas pessoas por dormitório, mais duas pessoas na sala.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  <w:t xml:space="preserve">Com relação a quantidade mínima de saídas de um ambiente, setor ou andar, a Tabela 5 da minuta em discussão estabelece uma saída para lotação de até 50 pessoas. Negrisolo sugeriu que adotássemos a mesma lotação estabelecida no Código Italiano, ou seja, 100 pessoas. Foi aprovado por unanimidade a alteração da Tabela 5 pela Tabela contida no Código Italiano.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Com relação às alternativas de fuga, Item 7.4.2 da minuta, o secretário sugeriu maior discussão, pois a questão do ângulo de 45º precisa ser mais discutida.</w:t>
      </w:r>
    </w:p>
    <w:p w:rsidR="00000000" w:rsidDel="00000000" w:rsidP="00000000" w:rsidRDefault="00000000" w:rsidRPr="00000000" w14:paraId="0000008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Quanto às distâncias de caminhamento, Aldemir salientou que em muitos casos, quando da construção de edifícios comerciais, não se sabe a priori quem o ocupará, portanto, não se pode apresentar o leiaute na fase de aprovação do projeto. Miranda sugeriu que a exigência de redução do caminhamento em 30%, na ausência de leiaute, fosse eliminada. Contudo, a distância de caminhamento deverá ser atendida quando da implantação do leiaute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4">
      <w:pPr>
        <w:pBdr>
          <w:bottom w:color="000000" w:space="1" w:sz="24" w:val="single"/>
        </w:pBdr>
        <w:spacing w:after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 PRÓXIMA REUNIÃO </w:t>
      </w:r>
    </w:p>
    <w:p w:rsidR="00000000" w:rsidDel="00000000" w:rsidP="00000000" w:rsidRDefault="00000000" w:rsidRPr="00000000" w14:paraId="00000086">
      <w:pPr>
        <w:tabs>
          <w:tab w:val="left" w:pos="9781"/>
          <w:tab w:val="left" w:pos="10490"/>
        </w:tabs>
        <w:spacing w:after="240" w:lineRule="auto"/>
        <w:ind w:right="-284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 16/07/2019                                                       </w:t>
      </w:r>
      <w:r w:rsidDel="00000000" w:rsidR="00000000" w:rsidRPr="00000000">
        <w:rPr>
          <w:b w:val="1"/>
          <w:smallCaps w:val="1"/>
          <w:rtl w:val="0"/>
        </w:rPr>
        <w:t xml:space="preserve">HORÁRIO</w:t>
      </w:r>
      <w:r w:rsidDel="00000000" w:rsidR="00000000" w:rsidRPr="00000000">
        <w:rPr>
          <w:b w:val="1"/>
          <w:rtl w:val="0"/>
        </w:rPr>
        <w:t xml:space="preserve">:  9:00 h às 12:00 h.</w:t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b w:val="1"/>
          <w:rtl w:val="0"/>
        </w:rPr>
        <w:t xml:space="preserve">LOCAL: </w:t>
      </w:r>
      <w:r w:rsidDel="00000000" w:rsidR="00000000" w:rsidRPr="00000000">
        <w:rPr>
          <w:rtl w:val="0"/>
        </w:rPr>
        <w:t xml:space="preserve">CASA TARJAB – Rua Pereira Estéfano, 308 – Saúde.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Continuidade dos trabalhos definidos e aprovados na 2ª reunião dessa comissão.</w:t>
      </w:r>
    </w:p>
    <w:p w:rsidR="00000000" w:rsidDel="00000000" w:rsidP="00000000" w:rsidRDefault="00000000" w:rsidRPr="00000000" w14:paraId="0000008A">
      <w:pPr>
        <w:pBdr>
          <w:bottom w:color="000000" w:space="0" w:sz="24" w:val="single"/>
        </w:pBdr>
        <w:tabs>
          <w:tab w:val="left" w:pos="10490"/>
        </w:tabs>
        <w:ind w:right="57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single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ata também é um convite para a próxima reunião conforme data, local e horário acima. Favor confirmar presença.</w:t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1276" w:top="680" w:left="964" w:right="708" w:header="1304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Time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12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  <w:tab/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-482599</wp:posOffset>
              </wp:positionV>
              <wp:extent cx="3808730" cy="619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46398" y="347520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ABNT/CB002 Comitê Brasileiro da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Construção Civil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-482599</wp:posOffset>
              </wp:positionV>
              <wp:extent cx="3808730" cy="619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873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7629525" cy="2387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36000" y="3665383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36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63500</wp:posOffset>
              </wp:positionV>
              <wp:extent cx="7629525" cy="2387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5" cy="238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3264535</wp:posOffset>
          </wp:positionH>
          <wp:positionV relativeFrom="paragraph">
            <wp:posOffset>-532764</wp:posOffset>
          </wp:positionV>
          <wp:extent cx="2943225" cy="542925"/>
          <wp:effectExtent b="0" l="0" r="0" t="0"/>
          <wp:wrapSquare wrapText="bothSides" distB="0" distT="0" distL="114300" distR="114300"/>
          <wp:docPr descr="logo foro 1" id="3" name="image1.jpg"/>
          <a:graphic>
            <a:graphicData uri="http://schemas.openxmlformats.org/drawingml/2006/picture">
              <pic:pic>
                <pic:nvPicPr>
                  <pic:cNvPr descr="logo foro 1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36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cs="Arial" w:eastAsia="Arial" w:hAnsi="Arial"/>
        <w:b w:val="1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Rule="auto"/>
    </w:pPr>
    <w:rPr>
      <w:rFonts w:ascii="Open Sans" w:cs="Open Sans" w:eastAsia="Open Sans" w:hAnsi="Open Sans"/>
      <w:b w:val="1"/>
      <w:u w:val="single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Open Sans" w:cs="Open Sans" w:eastAsia="Open Sans" w:hAnsi="Open Sans"/>
      <w:b w:val="1"/>
    </w:rPr>
  </w:style>
  <w:style w:type="paragraph" w:styleId="Heading3">
    <w:name w:val="heading 3"/>
    <w:basedOn w:val="Normal"/>
    <w:next w:val="Normal"/>
    <w:pPr>
      <w:ind w:left="354"/>
    </w:pPr>
    <w:rPr>
      <w:rFonts w:ascii="CG Times" w:cs="CG Times" w:eastAsia="CG Times" w:hAnsi="CG Times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tabs>
        <w:tab w:val="left" w:pos="8460"/>
      </w:tabs>
      <w:spacing w:before="120" w:lineRule="auto"/>
      <w:jc w:val="cente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ind w:left="-426" w:firstLine="420"/>
      <w:jc w:val="both"/>
    </w:pPr>
    <w:rPr>
      <w:rFonts w:ascii="Impact" w:cs="Impact" w:eastAsia="Impact" w:hAnsi="Impact"/>
      <w:b w:val="1"/>
      <w:i w:val="1"/>
      <w:color w:val="000000"/>
      <w:sz w:val="28"/>
      <w:szCs w:val="28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GTimes-regular.ttf"/><Relationship Id="rId6" Type="http://schemas.openxmlformats.org/officeDocument/2006/relationships/font" Target="fonts/CGTimes-bold.ttf"/><Relationship Id="rId7" Type="http://schemas.openxmlformats.org/officeDocument/2006/relationships/font" Target="fonts/CGTimes-italic.ttf"/><Relationship Id="rId8" Type="http://schemas.openxmlformats.org/officeDocument/2006/relationships/font" Target="fonts/CGTime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